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38EE57" w14:textId="667BCF41" w:rsidR="00F24589" w:rsidRDefault="00D67D6C" w:rsidP="002014C3">
      <w:pPr>
        <w:jc w:val="center"/>
        <w:rPr>
          <w:b/>
          <w:i/>
          <w:sz w:val="16"/>
          <w:szCs w:val="16"/>
        </w:rPr>
      </w:pPr>
      <w:bookmarkStart w:id="0" w:name="_Hlk16242640"/>
      <w:bookmarkEnd w:id="0"/>
      <w:r>
        <w:rPr>
          <w:b/>
          <w:i/>
          <w:noProof/>
          <w:sz w:val="16"/>
          <w:szCs w:val="16"/>
          <w:lang w:eastAsia="en-GB"/>
        </w:rPr>
        <w:drawing>
          <wp:inline distT="0" distB="0" distL="0" distR="0" wp14:anchorId="488128BD" wp14:editId="1D24718C">
            <wp:extent cx="2057400" cy="83231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ingBlac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99325" cy="849278"/>
                    </a:xfrm>
                    <a:prstGeom prst="rect">
                      <a:avLst/>
                    </a:prstGeom>
                  </pic:spPr>
                </pic:pic>
              </a:graphicData>
            </a:graphic>
          </wp:inline>
        </w:drawing>
      </w:r>
    </w:p>
    <w:p w14:paraId="4536F75F" w14:textId="77777777" w:rsidR="00D67D6C" w:rsidRPr="00F24589" w:rsidRDefault="00D67D6C" w:rsidP="002014C3">
      <w:pPr>
        <w:jc w:val="center"/>
        <w:rPr>
          <w:b/>
          <w:i/>
          <w:sz w:val="16"/>
          <w:szCs w:val="16"/>
        </w:rPr>
      </w:pPr>
    </w:p>
    <w:p w14:paraId="7D31ABA9" w14:textId="6B1EAF81" w:rsidR="00511A51" w:rsidRDefault="00AA0B3B" w:rsidP="00B214F2">
      <w:pPr>
        <w:spacing w:after="0"/>
        <w:jc w:val="center"/>
        <w:rPr>
          <w:b/>
          <w:i/>
          <w:sz w:val="72"/>
          <w:szCs w:val="72"/>
          <w:u w:val="single"/>
        </w:rPr>
      </w:pPr>
      <w:r w:rsidRPr="009E0F44">
        <w:rPr>
          <w:b/>
          <w:i/>
          <w:sz w:val="72"/>
          <w:szCs w:val="72"/>
          <w:u w:val="single"/>
        </w:rPr>
        <w:t>The Enchanted</w:t>
      </w:r>
      <w:r w:rsidR="00EE4985">
        <w:rPr>
          <w:b/>
          <w:i/>
          <w:sz w:val="72"/>
          <w:szCs w:val="72"/>
          <w:u w:val="single"/>
        </w:rPr>
        <w:t xml:space="preserve"> Interior</w:t>
      </w:r>
    </w:p>
    <w:p w14:paraId="4F6A71E1" w14:textId="7AA5310E" w:rsidR="00B214F2" w:rsidRPr="00B214F2" w:rsidRDefault="00B214F2" w:rsidP="00B214F2">
      <w:pPr>
        <w:spacing w:after="0"/>
        <w:jc w:val="center"/>
        <w:rPr>
          <w:b/>
          <w:i/>
          <w:sz w:val="18"/>
          <w:szCs w:val="18"/>
          <w:u w:val="single"/>
        </w:rPr>
      </w:pPr>
    </w:p>
    <w:p w14:paraId="75936F39" w14:textId="6A7B3350" w:rsidR="00AA0B3B" w:rsidRPr="002014C3" w:rsidRDefault="00EE4985" w:rsidP="002014C3">
      <w:pPr>
        <w:jc w:val="center"/>
        <w:rPr>
          <w:b/>
          <w:sz w:val="56"/>
          <w:szCs w:val="56"/>
        </w:rPr>
      </w:pPr>
      <w:r>
        <w:rPr>
          <w:b/>
          <w:sz w:val="56"/>
          <w:szCs w:val="56"/>
        </w:rPr>
        <w:t>12 October</w:t>
      </w:r>
      <w:r w:rsidR="00AA0B3B" w:rsidRPr="002014C3">
        <w:rPr>
          <w:b/>
          <w:sz w:val="56"/>
          <w:szCs w:val="56"/>
        </w:rPr>
        <w:t xml:space="preserve"> </w:t>
      </w:r>
      <w:r>
        <w:rPr>
          <w:b/>
          <w:sz w:val="56"/>
          <w:szCs w:val="56"/>
        </w:rPr>
        <w:t xml:space="preserve">2019 - </w:t>
      </w:r>
      <w:r w:rsidR="00AA0B3B" w:rsidRPr="002014C3">
        <w:rPr>
          <w:b/>
          <w:sz w:val="56"/>
          <w:szCs w:val="56"/>
        </w:rPr>
        <w:t>2</w:t>
      </w:r>
      <w:r>
        <w:rPr>
          <w:b/>
          <w:sz w:val="56"/>
          <w:szCs w:val="56"/>
        </w:rPr>
        <w:t>2 February 2020</w:t>
      </w:r>
    </w:p>
    <w:p w14:paraId="6F87A3BE" w14:textId="11072519" w:rsidR="00B517C5" w:rsidRPr="00663C6B" w:rsidRDefault="00A356AE" w:rsidP="00663C6B">
      <w:pPr>
        <w:pStyle w:val="NoSpacing"/>
        <w:rPr>
          <w:rFonts w:ascii="Calibri" w:hAnsi="Calibri" w:cs="Calibri"/>
          <w:szCs w:val="24"/>
        </w:rPr>
      </w:pPr>
      <w:r>
        <w:rPr>
          <w:noProof/>
          <w:lang w:eastAsia="en-GB"/>
        </w:rPr>
        <w:drawing>
          <wp:anchor distT="0" distB="0" distL="114300" distR="114300" simplePos="0" relativeHeight="251681792" behindDoc="1" locked="0" layoutInCell="1" allowOverlap="1" wp14:anchorId="4D74A156" wp14:editId="633EB876">
            <wp:simplePos x="0" y="0"/>
            <wp:positionH relativeFrom="column">
              <wp:posOffset>4010025</wp:posOffset>
            </wp:positionH>
            <wp:positionV relativeFrom="paragraph">
              <wp:posOffset>187325</wp:posOffset>
            </wp:positionV>
            <wp:extent cx="3023870" cy="2011680"/>
            <wp:effectExtent l="0" t="0" r="5080" b="7620"/>
            <wp:wrapTight wrapText="bothSides">
              <wp:wrapPolygon edited="0">
                <wp:start x="0" y="0"/>
                <wp:lineTo x="0" y="21477"/>
                <wp:lineTo x="21500" y="21477"/>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2387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363">
        <w:rPr>
          <w:rFonts w:ascii="Calibri" w:hAnsi="Calibri" w:cs="Calibri"/>
          <w:szCs w:val="24"/>
        </w:rPr>
        <w:t xml:space="preserve"> </w:t>
      </w:r>
    </w:p>
    <w:p w14:paraId="503C3315" w14:textId="7E12BD1F" w:rsidR="005B4EF0" w:rsidRPr="00566D00" w:rsidRDefault="005B4EF0" w:rsidP="005B4EF0">
      <w:pPr>
        <w:spacing w:line="252" w:lineRule="auto"/>
        <w:rPr>
          <w:rFonts w:cstheme="minorHAnsi"/>
          <w:color w:val="000000" w:themeColor="text1"/>
          <w:lang w:eastAsia="en-GB"/>
        </w:rPr>
      </w:pPr>
      <w:r w:rsidRPr="00566D00">
        <w:rPr>
          <w:rFonts w:cstheme="minorHAnsi"/>
          <w:i/>
          <w:iCs/>
          <w:color w:val="000000" w:themeColor="text1"/>
          <w:lang w:eastAsia="en-GB"/>
        </w:rPr>
        <w:t>The Enchanted Interior</w:t>
      </w:r>
      <w:r w:rsidRPr="00566D00">
        <w:rPr>
          <w:rFonts w:cstheme="minorHAnsi"/>
          <w:color w:val="000000" w:themeColor="text1"/>
          <w:lang w:eastAsia="en-GB"/>
        </w:rPr>
        <w:t xml:space="preserve"> will explore the sinister implications of a popular theme in </w:t>
      </w:r>
      <w:r w:rsidR="005E2234" w:rsidRPr="00566D00">
        <w:rPr>
          <w:rFonts w:cstheme="minorHAnsi"/>
          <w:color w:val="000000" w:themeColor="text1"/>
          <w:lang w:eastAsia="en-GB"/>
        </w:rPr>
        <w:t>19th</w:t>
      </w:r>
      <w:r w:rsidRPr="00566D00">
        <w:rPr>
          <w:rFonts w:cstheme="minorHAnsi"/>
          <w:color w:val="000000" w:themeColor="text1"/>
          <w:lang w:eastAsia="en-GB"/>
        </w:rPr>
        <w:t xml:space="preserve">-century painting: the depiction of the interior as a ‘gilded cage’ in which women are pictured as ornamental objects. </w:t>
      </w:r>
    </w:p>
    <w:p w14:paraId="7425A156" w14:textId="6D7A89D8" w:rsidR="00871487" w:rsidRPr="00566D00" w:rsidRDefault="005B4EF0" w:rsidP="005B4EF0">
      <w:pPr>
        <w:spacing w:line="252" w:lineRule="auto"/>
        <w:rPr>
          <w:rFonts w:cstheme="minorHAnsi"/>
          <w:color w:val="000000" w:themeColor="text1"/>
          <w:lang w:eastAsia="en-GB"/>
        </w:rPr>
      </w:pPr>
      <w:r w:rsidRPr="00566D00">
        <w:rPr>
          <w:rFonts w:cstheme="minorHAnsi"/>
          <w:color w:val="000000" w:themeColor="text1"/>
          <w:lang w:eastAsia="en-GB"/>
        </w:rPr>
        <w:t xml:space="preserve">Iconic Pre-Raphaelite </w:t>
      </w:r>
      <w:r w:rsidR="00B85FDD" w:rsidRPr="00566D00">
        <w:rPr>
          <w:rFonts w:cstheme="minorHAnsi"/>
          <w:color w:val="000000" w:themeColor="text1"/>
          <w:lang w:eastAsia="en-GB"/>
        </w:rPr>
        <w:t xml:space="preserve">and </w:t>
      </w:r>
      <w:r w:rsidR="00B85FDD" w:rsidRPr="00566D00">
        <w:rPr>
          <w:rFonts w:cstheme="minorHAnsi"/>
          <w:bCs/>
          <w:color w:val="000000" w:themeColor="text1"/>
        </w:rPr>
        <w:t xml:space="preserve">British </w:t>
      </w:r>
      <w:r w:rsidR="00EB4FB7" w:rsidRPr="00566D00">
        <w:rPr>
          <w:rFonts w:cstheme="minorHAnsi"/>
          <w:bCs/>
          <w:color w:val="000000" w:themeColor="text1"/>
        </w:rPr>
        <w:t>Orientalist paintings</w:t>
      </w:r>
      <w:r w:rsidRPr="00566D00">
        <w:rPr>
          <w:rFonts w:cstheme="minorHAnsi"/>
          <w:color w:val="000000" w:themeColor="text1"/>
          <w:lang w:eastAsia="en-GB"/>
        </w:rPr>
        <w:t xml:space="preserve"> </w:t>
      </w:r>
      <w:r w:rsidR="00A356AE" w:rsidRPr="00566D00">
        <w:rPr>
          <w:rFonts w:cstheme="minorHAnsi"/>
          <w:color w:val="000000" w:themeColor="text1"/>
          <w:lang w:eastAsia="en-GB"/>
        </w:rPr>
        <w:t>by</w:t>
      </w:r>
      <w:r w:rsidR="00A356AE" w:rsidRPr="00A356AE">
        <w:t xml:space="preserve"> </w:t>
      </w:r>
      <w:r w:rsidR="00A356AE" w:rsidRPr="00566D00">
        <w:rPr>
          <w:rFonts w:cstheme="minorHAnsi"/>
          <w:color w:val="000000" w:themeColor="text1"/>
          <w:lang w:eastAsia="en-GB"/>
        </w:rPr>
        <w:t>artists</w:t>
      </w:r>
      <w:r w:rsidRPr="00566D00">
        <w:rPr>
          <w:rFonts w:cstheme="minorHAnsi"/>
          <w:color w:val="000000" w:themeColor="text1"/>
          <w:lang w:eastAsia="en-GB"/>
        </w:rPr>
        <w:t xml:space="preserve"> such as Edward Burne-Jones</w:t>
      </w:r>
      <w:r w:rsidR="002565AE">
        <w:rPr>
          <w:rFonts w:cstheme="minorHAnsi"/>
          <w:color w:val="000000" w:themeColor="text1"/>
          <w:lang w:eastAsia="en-GB"/>
        </w:rPr>
        <w:t>,</w:t>
      </w:r>
      <w:r w:rsidRPr="00566D00">
        <w:rPr>
          <w:rFonts w:cstheme="minorHAnsi"/>
          <w:color w:val="000000" w:themeColor="text1"/>
          <w:lang w:eastAsia="en-GB"/>
        </w:rPr>
        <w:t xml:space="preserve"> William Holman Hunt</w:t>
      </w:r>
      <w:r w:rsidR="002565AE">
        <w:rPr>
          <w:rFonts w:cstheme="minorHAnsi"/>
          <w:color w:val="000000" w:themeColor="text1"/>
          <w:lang w:eastAsia="en-GB"/>
        </w:rPr>
        <w:t xml:space="preserve"> and </w:t>
      </w:r>
      <w:r w:rsidR="008D1D7B">
        <w:rPr>
          <w:rFonts w:ascii="Calibri" w:hAnsi="Calibri" w:cs="Calibri"/>
          <w:color w:val="000000" w:themeColor="text1"/>
        </w:rPr>
        <w:t xml:space="preserve">John Frederick Lewis </w:t>
      </w:r>
      <w:r w:rsidRPr="00566D00">
        <w:rPr>
          <w:rFonts w:cstheme="minorHAnsi"/>
          <w:color w:val="000000" w:themeColor="text1"/>
          <w:lang w:eastAsia="en-GB"/>
        </w:rPr>
        <w:t xml:space="preserve">will be shown alongside works by their female peers such as Emma Sandys and Evelyn De Morgan, who challenge and subvert the idealisation of women as captive damsels or passive beauties. </w:t>
      </w:r>
    </w:p>
    <w:p w14:paraId="35EA93DC" w14:textId="071FF14F" w:rsidR="005B4EF0" w:rsidRPr="00566D00" w:rsidRDefault="00A356AE" w:rsidP="005B4EF0">
      <w:pPr>
        <w:spacing w:line="252" w:lineRule="auto"/>
        <w:rPr>
          <w:rFonts w:cstheme="minorHAnsi"/>
          <w:color w:val="000000" w:themeColor="text1"/>
          <w:lang w:eastAsia="en-GB"/>
        </w:rPr>
      </w:pPr>
      <w:r>
        <w:rPr>
          <w:noProof/>
          <w:lang w:eastAsia="en-GB"/>
        </w:rPr>
        <w:drawing>
          <wp:anchor distT="0" distB="0" distL="114300" distR="114300" simplePos="0" relativeHeight="251682816" behindDoc="1" locked="0" layoutInCell="1" allowOverlap="1" wp14:anchorId="7A691353" wp14:editId="77DE9E8C">
            <wp:simplePos x="0" y="0"/>
            <wp:positionH relativeFrom="column">
              <wp:posOffset>4046220</wp:posOffset>
            </wp:positionH>
            <wp:positionV relativeFrom="paragraph">
              <wp:posOffset>305435</wp:posOffset>
            </wp:positionV>
            <wp:extent cx="2989580" cy="2240915"/>
            <wp:effectExtent l="0" t="0" r="1270" b="6985"/>
            <wp:wrapTight wrapText="bothSides">
              <wp:wrapPolygon edited="0">
                <wp:start x="0" y="0"/>
                <wp:lineTo x="0" y="21484"/>
                <wp:lineTo x="21472" y="21484"/>
                <wp:lineTo x="214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9580"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FDD" w:rsidRPr="00566D00">
        <w:rPr>
          <w:rFonts w:cstheme="minorHAnsi"/>
          <w:color w:val="000000" w:themeColor="text1"/>
          <w:lang w:eastAsia="en-GB"/>
        </w:rPr>
        <w:t>I</w:t>
      </w:r>
      <w:r w:rsidR="005B4EF0" w:rsidRPr="00566D00">
        <w:rPr>
          <w:rFonts w:cstheme="minorHAnsi"/>
          <w:color w:val="000000" w:themeColor="text1"/>
          <w:lang w:eastAsia="en-GB"/>
        </w:rPr>
        <w:t>nstallation</w:t>
      </w:r>
      <w:r w:rsidR="0060176B">
        <w:rPr>
          <w:rFonts w:cstheme="minorHAnsi"/>
          <w:color w:val="000000" w:themeColor="text1"/>
          <w:lang w:eastAsia="en-GB"/>
        </w:rPr>
        <w:t>, photography</w:t>
      </w:r>
      <w:r w:rsidR="005B4EF0" w:rsidRPr="00566D00">
        <w:rPr>
          <w:rFonts w:cstheme="minorHAnsi"/>
          <w:color w:val="000000" w:themeColor="text1"/>
          <w:lang w:eastAsia="en-GB"/>
        </w:rPr>
        <w:t xml:space="preserve"> and moving image work by contemporary artists such as Mona </w:t>
      </w:r>
      <w:proofErr w:type="spellStart"/>
      <w:r w:rsidR="005B4EF0" w:rsidRPr="00566D00">
        <w:rPr>
          <w:rFonts w:cstheme="minorHAnsi"/>
          <w:color w:val="000000" w:themeColor="text1"/>
          <w:lang w:eastAsia="en-GB"/>
        </w:rPr>
        <w:t>Hatoum</w:t>
      </w:r>
      <w:proofErr w:type="spellEnd"/>
      <w:r w:rsidR="002F3A63">
        <w:rPr>
          <w:rFonts w:cstheme="minorHAnsi"/>
          <w:color w:val="000000" w:themeColor="text1"/>
          <w:lang w:eastAsia="en-GB"/>
        </w:rPr>
        <w:t xml:space="preserve">, </w:t>
      </w:r>
      <w:r w:rsidR="005B4EF0" w:rsidRPr="00566D00">
        <w:rPr>
          <w:rFonts w:cstheme="minorHAnsi"/>
          <w:color w:val="000000" w:themeColor="text1"/>
          <w:lang w:eastAsia="en-GB"/>
        </w:rPr>
        <w:t>Fiona Tan</w:t>
      </w:r>
      <w:r w:rsidR="002F3A63">
        <w:rPr>
          <w:rFonts w:cstheme="minorHAnsi"/>
          <w:color w:val="000000" w:themeColor="text1"/>
          <w:lang w:eastAsia="en-GB"/>
        </w:rPr>
        <w:t>, Cornelia Parker and Martha Rosler</w:t>
      </w:r>
      <w:r w:rsidR="005B4EF0" w:rsidRPr="00566D00">
        <w:rPr>
          <w:rFonts w:cstheme="minorHAnsi"/>
          <w:color w:val="000000" w:themeColor="text1"/>
          <w:lang w:eastAsia="en-GB"/>
        </w:rPr>
        <w:t xml:space="preserve"> </w:t>
      </w:r>
      <w:r w:rsidR="000B683D">
        <w:t xml:space="preserve">reveal more complex ideas of enclosure and enchantment, alluding to the </w:t>
      </w:r>
      <w:r w:rsidR="002F3A63">
        <w:t>interior</w:t>
      </w:r>
      <w:r w:rsidR="002F3A63" w:rsidRPr="00566D00" w:rsidDel="000B683D">
        <w:rPr>
          <w:rFonts w:cstheme="minorHAnsi"/>
          <w:color w:val="000000" w:themeColor="text1"/>
          <w:lang w:eastAsia="en-GB"/>
        </w:rPr>
        <w:t xml:space="preserve"> </w:t>
      </w:r>
      <w:r w:rsidR="002F3A63" w:rsidRPr="00566D00">
        <w:rPr>
          <w:rFonts w:cstheme="minorHAnsi"/>
          <w:color w:val="000000" w:themeColor="text1"/>
          <w:lang w:eastAsia="en-GB"/>
        </w:rPr>
        <w:t>as</w:t>
      </w:r>
      <w:r w:rsidR="005B4EF0" w:rsidRPr="00566D00">
        <w:rPr>
          <w:rFonts w:cstheme="minorHAnsi"/>
          <w:color w:val="000000" w:themeColor="text1"/>
          <w:lang w:eastAsia="en-GB"/>
        </w:rPr>
        <w:t xml:space="preserve"> a </w:t>
      </w:r>
      <w:r w:rsidR="002D2B9A" w:rsidRPr="00566D00">
        <w:rPr>
          <w:rFonts w:cstheme="minorHAnsi"/>
          <w:color w:val="000000" w:themeColor="text1"/>
          <w:lang w:eastAsia="en-GB"/>
        </w:rPr>
        <w:t>place</w:t>
      </w:r>
      <w:r w:rsidR="005B4EF0" w:rsidRPr="00566D00">
        <w:rPr>
          <w:rFonts w:cstheme="minorHAnsi"/>
          <w:color w:val="000000" w:themeColor="text1"/>
          <w:lang w:eastAsia="en-GB"/>
        </w:rPr>
        <w:t xml:space="preserve"> that can </w:t>
      </w:r>
      <w:r w:rsidR="005E2234" w:rsidRPr="00566D00">
        <w:rPr>
          <w:rFonts w:cstheme="minorHAnsi"/>
          <w:color w:val="000000" w:themeColor="text1"/>
          <w:lang w:eastAsia="en-GB"/>
        </w:rPr>
        <w:t>be</w:t>
      </w:r>
      <w:r w:rsidR="005B4EF0" w:rsidRPr="00566D00">
        <w:rPr>
          <w:rFonts w:cstheme="minorHAnsi"/>
          <w:color w:val="000000" w:themeColor="text1"/>
          <w:lang w:eastAsia="en-GB"/>
        </w:rPr>
        <w:t xml:space="preserve"> </w:t>
      </w:r>
      <w:r w:rsidR="005E2234" w:rsidRPr="00566D00">
        <w:rPr>
          <w:rFonts w:cstheme="minorHAnsi"/>
          <w:color w:val="000000" w:themeColor="text1"/>
          <w:lang w:eastAsia="en-GB"/>
        </w:rPr>
        <w:t>controlling</w:t>
      </w:r>
      <w:r w:rsidR="00C8163E" w:rsidRPr="00566D00">
        <w:rPr>
          <w:rFonts w:cstheme="minorHAnsi"/>
          <w:color w:val="000000" w:themeColor="text1"/>
          <w:lang w:eastAsia="en-GB"/>
        </w:rPr>
        <w:t xml:space="preserve">, </w:t>
      </w:r>
      <w:r w:rsidR="005E2234" w:rsidRPr="00566D00">
        <w:rPr>
          <w:rFonts w:cstheme="minorHAnsi"/>
          <w:color w:val="000000" w:themeColor="text1"/>
          <w:lang w:eastAsia="en-GB"/>
        </w:rPr>
        <w:t>sinister</w:t>
      </w:r>
      <w:r w:rsidR="00C8163E" w:rsidRPr="00566D00">
        <w:rPr>
          <w:rFonts w:cstheme="minorHAnsi"/>
          <w:color w:val="000000" w:themeColor="text1"/>
          <w:lang w:eastAsia="en-GB"/>
        </w:rPr>
        <w:t xml:space="preserve"> and</w:t>
      </w:r>
      <w:r w:rsidR="005E2234" w:rsidRPr="00566D00">
        <w:rPr>
          <w:rFonts w:cstheme="minorHAnsi"/>
          <w:color w:val="000000" w:themeColor="text1"/>
          <w:lang w:eastAsia="en-GB"/>
        </w:rPr>
        <w:t xml:space="preserve"> threat</w:t>
      </w:r>
      <w:r w:rsidR="00C8163E" w:rsidRPr="00566D00">
        <w:rPr>
          <w:rFonts w:cstheme="minorHAnsi"/>
          <w:color w:val="000000" w:themeColor="text1"/>
          <w:lang w:eastAsia="en-GB"/>
        </w:rPr>
        <w:t>ening</w:t>
      </w:r>
      <w:r w:rsidR="000B683D">
        <w:rPr>
          <w:rFonts w:cstheme="minorHAnsi"/>
          <w:color w:val="000000" w:themeColor="text1"/>
          <w:lang w:eastAsia="en-GB"/>
        </w:rPr>
        <w:t xml:space="preserve"> as much as it can be a sanctuary</w:t>
      </w:r>
      <w:r w:rsidR="005E2234" w:rsidRPr="00566D00">
        <w:rPr>
          <w:rFonts w:cstheme="minorHAnsi"/>
          <w:color w:val="000000" w:themeColor="text1"/>
          <w:lang w:eastAsia="en-GB"/>
        </w:rPr>
        <w:t>.</w:t>
      </w:r>
      <w:r w:rsidR="005B4EF0" w:rsidRPr="00566D00">
        <w:rPr>
          <w:rFonts w:cstheme="minorHAnsi"/>
          <w:color w:val="000000" w:themeColor="text1"/>
          <w:lang w:eastAsia="en-GB"/>
        </w:rPr>
        <w:t xml:space="preserve"> </w:t>
      </w:r>
    </w:p>
    <w:p w14:paraId="06E46635" w14:textId="16C260C8" w:rsidR="006C14EB" w:rsidRDefault="006C14EB" w:rsidP="003170EF">
      <w:pPr>
        <w:spacing w:after="0" w:line="252" w:lineRule="auto"/>
        <w:rPr>
          <w:rFonts w:cstheme="minorHAnsi"/>
          <w:color w:val="000000" w:themeColor="text1"/>
          <w:lang w:eastAsia="en-GB"/>
        </w:rPr>
      </w:pPr>
      <w:r w:rsidRPr="00566D00">
        <w:rPr>
          <w:rFonts w:cstheme="minorHAnsi"/>
          <w:i/>
          <w:color w:val="000000" w:themeColor="text1"/>
        </w:rPr>
        <w:t xml:space="preserve">The Enchanted </w:t>
      </w:r>
      <w:r w:rsidRPr="002F3A63">
        <w:rPr>
          <w:rFonts w:cstheme="minorHAnsi"/>
          <w:i/>
          <w:color w:val="000000" w:themeColor="text1"/>
        </w:rPr>
        <w:t xml:space="preserve">Interior </w:t>
      </w:r>
      <w:r w:rsidRPr="002F3A63">
        <w:rPr>
          <w:rFonts w:cstheme="minorHAnsi"/>
          <w:color w:val="000000" w:themeColor="text1"/>
          <w:lang w:eastAsia="en-GB"/>
        </w:rPr>
        <w:t xml:space="preserve">will include </w:t>
      </w:r>
      <w:r w:rsidR="0079497B">
        <w:rPr>
          <w:rFonts w:cstheme="minorHAnsi"/>
          <w:color w:val="000000" w:themeColor="text1"/>
          <w:lang w:eastAsia="en-GB"/>
        </w:rPr>
        <w:t>84</w:t>
      </w:r>
      <w:r w:rsidRPr="002F3A63">
        <w:rPr>
          <w:rFonts w:cstheme="minorHAnsi"/>
          <w:color w:val="000000" w:themeColor="text1"/>
          <w:lang w:eastAsia="en-GB"/>
        </w:rPr>
        <w:t xml:space="preserve"> oil paintings, watercolours, sculptures, films, installations, </w:t>
      </w:r>
      <w:r w:rsidRPr="002F3A63">
        <w:rPr>
          <w:rFonts w:ascii="Calibri" w:hAnsi="Calibri" w:cs="Calibri"/>
          <w:color w:val="000000" w:themeColor="text1"/>
          <w:lang w:eastAsia="en-GB"/>
        </w:rPr>
        <w:t xml:space="preserve">photography, prints and decorative art by </w:t>
      </w:r>
      <w:r w:rsidR="0079497B">
        <w:rPr>
          <w:rFonts w:ascii="Calibri" w:hAnsi="Calibri" w:cs="Calibri"/>
          <w:color w:val="000000" w:themeColor="text1"/>
          <w:lang w:eastAsia="en-GB"/>
        </w:rPr>
        <w:t>60</w:t>
      </w:r>
      <w:r w:rsidR="0079497B" w:rsidRPr="002F3A63">
        <w:rPr>
          <w:rFonts w:ascii="Calibri" w:hAnsi="Calibri" w:cs="Calibri"/>
          <w:color w:val="000000" w:themeColor="text1"/>
          <w:lang w:eastAsia="en-GB"/>
        </w:rPr>
        <w:t xml:space="preserve"> </w:t>
      </w:r>
      <w:r w:rsidRPr="002F3A63">
        <w:rPr>
          <w:rFonts w:ascii="Calibri" w:hAnsi="Calibri" w:cs="Calibri"/>
          <w:color w:val="000000" w:themeColor="text1"/>
          <w:lang w:eastAsia="en-GB"/>
        </w:rPr>
        <w:t xml:space="preserve">artists </w:t>
      </w:r>
      <w:r w:rsidRPr="00566D00">
        <w:rPr>
          <w:rFonts w:ascii="Calibri" w:hAnsi="Calibri" w:cs="Calibri"/>
          <w:color w:val="000000" w:themeColor="text1"/>
          <w:lang w:eastAsia="en-GB"/>
        </w:rPr>
        <w:t xml:space="preserve">- </w:t>
      </w:r>
      <w:r w:rsidRPr="00566D00">
        <w:rPr>
          <w:rFonts w:ascii="Calibri" w:hAnsi="Calibri" w:cs="Calibri"/>
          <w:iCs/>
          <w:color w:val="000000" w:themeColor="text1"/>
        </w:rPr>
        <w:t xml:space="preserve">almost half of which are women </w:t>
      </w:r>
      <w:r w:rsidR="00727161" w:rsidRPr="00566D00">
        <w:rPr>
          <w:rFonts w:ascii="Calibri" w:hAnsi="Calibri" w:cs="Calibri"/>
          <w:iCs/>
          <w:color w:val="000000" w:themeColor="text1"/>
        </w:rPr>
        <w:t>–</w:t>
      </w:r>
      <w:r w:rsidR="00727161" w:rsidRPr="00A356AE">
        <w:t xml:space="preserve"> </w:t>
      </w:r>
      <w:r w:rsidR="00727161" w:rsidRPr="00566D00">
        <w:rPr>
          <w:rFonts w:ascii="Calibri" w:hAnsi="Calibri" w:cs="Calibri"/>
          <w:color w:val="000000" w:themeColor="text1"/>
          <w:lang w:eastAsia="en-GB"/>
        </w:rPr>
        <w:t>including</w:t>
      </w:r>
      <w:r w:rsidRPr="00566D00">
        <w:rPr>
          <w:rFonts w:ascii="Calibri" w:hAnsi="Calibri" w:cs="Calibri"/>
          <w:color w:val="000000" w:themeColor="text1"/>
          <w:lang w:eastAsia="en-GB"/>
        </w:rPr>
        <w:t xml:space="preserve"> </w:t>
      </w:r>
      <w:r w:rsidR="009616A6" w:rsidRPr="00566D00">
        <w:rPr>
          <w:rFonts w:ascii="Calibri" w:hAnsi="Calibri" w:cs="Calibri"/>
          <w:color w:val="000000" w:themeColor="text1"/>
          <w:lang w:eastAsia="en-GB"/>
        </w:rPr>
        <w:t xml:space="preserve">Dante Gabriel </w:t>
      </w:r>
      <w:r w:rsidR="009616A6" w:rsidRPr="00566D00">
        <w:rPr>
          <w:rFonts w:ascii="Calibri" w:hAnsi="Calibri" w:cs="Calibri"/>
          <w:lang w:eastAsia="en-GB"/>
        </w:rPr>
        <w:t xml:space="preserve">Rossetti, </w:t>
      </w:r>
      <w:r w:rsidR="00290A24">
        <w:rPr>
          <w:rFonts w:ascii="Calibri" w:hAnsi="Calibri" w:cs="Calibri"/>
          <w:lang w:eastAsia="en-GB"/>
        </w:rPr>
        <w:t xml:space="preserve">John Frederic Leighton, </w:t>
      </w:r>
      <w:r w:rsidRPr="00566D00">
        <w:rPr>
          <w:rFonts w:ascii="Calibri" w:hAnsi="Calibri" w:cs="Calibri"/>
          <w:color w:val="000000" w:themeColor="text1"/>
          <w:lang w:eastAsia="en-GB"/>
        </w:rPr>
        <w:t>John William Waterhouse, J.A.M Whistler</w:t>
      </w:r>
      <w:r w:rsidR="002F3A63" w:rsidRPr="00566D00">
        <w:rPr>
          <w:rFonts w:ascii="Calibri" w:hAnsi="Calibri" w:cs="Calibri"/>
          <w:color w:val="000000" w:themeColor="text1"/>
          <w:lang w:eastAsia="en-GB"/>
        </w:rPr>
        <w:t xml:space="preserve">, </w:t>
      </w:r>
      <w:r w:rsidR="002F3A63">
        <w:rPr>
          <w:rFonts w:ascii="Calibri" w:hAnsi="Calibri" w:cs="Calibri"/>
          <w:color w:val="000000" w:themeColor="text1"/>
          <w:lang w:eastAsia="en-GB"/>
        </w:rPr>
        <w:t>Walter</w:t>
      </w:r>
      <w:r w:rsidR="00290A24">
        <w:rPr>
          <w:rFonts w:ascii="Calibri" w:hAnsi="Calibri" w:cs="Calibri"/>
          <w:color w:val="000000" w:themeColor="text1"/>
          <w:lang w:eastAsia="en-GB"/>
        </w:rPr>
        <w:t xml:space="preserve"> Crane,</w:t>
      </w:r>
      <w:r w:rsidRPr="00566D00">
        <w:rPr>
          <w:rFonts w:ascii="Calibri" w:hAnsi="Calibri" w:cs="Calibri"/>
          <w:color w:val="000000" w:themeColor="text1"/>
          <w:lang w:eastAsia="en-GB"/>
        </w:rPr>
        <w:t xml:space="preserve"> Max Ernst, Dorothea Tanning</w:t>
      </w:r>
      <w:r w:rsidR="00B1707F">
        <w:rPr>
          <w:rFonts w:ascii="Calibri" w:hAnsi="Calibri" w:cs="Calibri"/>
          <w:color w:val="000000" w:themeColor="text1"/>
          <w:lang w:eastAsia="en-GB"/>
        </w:rPr>
        <w:t>,</w:t>
      </w:r>
      <w:r w:rsidR="002F3A63">
        <w:rPr>
          <w:rFonts w:ascii="Calibri" w:hAnsi="Calibri" w:cs="Calibri"/>
          <w:color w:val="000000" w:themeColor="text1"/>
          <w:lang w:eastAsia="en-GB"/>
        </w:rPr>
        <w:t xml:space="preserve"> </w:t>
      </w:r>
      <w:r w:rsidR="00E877F0">
        <w:rPr>
          <w:rFonts w:ascii="Calibri" w:hAnsi="Calibri" w:cs="Calibri"/>
          <w:color w:val="000000" w:themeColor="text1"/>
          <w:lang w:eastAsia="en-GB"/>
        </w:rPr>
        <w:t xml:space="preserve">Linder Sterling, Ursula Mayer, </w:t>
      </w:r>
      <w:r w:rsidR="002F3A63">
        <w:rPr>
          <w:rFonts w:ascii="Calibri" w:hAnsi="Calibri" w:cs="Calibri"/>
          <w:color w:val="000000" w:themeColor="text1"/>
          <w:lang w:eastAsia="en-GB"/>
        </w:rPr>
        <w:t>and</w:t>
      </w:r>
      <w:r w:rsidRPr="00566D00">
        <w:rPr>
          <w:rFonts w:ascii="Calibri" w:hAnsi="Calibri" w:cs="Calibri"/>
          <w:color w:val="000000" w:themeColor="text1"/>
          <w:lang w:eastAsia="en-GB"/>
        </w:rPr>
        <w:t xml:space="preserve"> </w:t>
      </w:r>
      <w:proofErr w:type="spellStart"/>
      <w:r w:rsidR="00290A24">
        <w:rPr>
          <w:rFonts w:ascii="Calibri" w:hAnsi="Calibri" w:cs="Calibri"/>
          <w:color w:val="000000" w:themeColor="text1"/>
          <w:lang w:eastAsia="en-GB"/>
        </w:rPr>
        <w:t>Hayv</w:t>
      </w:r>
      <w:proofErr w:type="spellEnd"/>
      <w:r w:rsidR="00290A24">
        <w:rPr>
          <w:rFonts w:ascii="Calibri" w:hAnsi="Calibri" w:cs="Calibri"/>
          <w:color w:val="000000" w:themeColor="text1"/>
          <w:lang w:eastAsia="en-GB"/>
        </w:rPr>
        <w:t xml:space="preserve"> </w:t>
      </w:r>
      <w:proofErr w:type="spellStart"/>
      <w:r w:rsidR="00290A24">
        <w:rPr>
          <w:rFonts w:ascii="Calibri" w:hAnsi="Calibri" w:cs="Calibri"/>
          <w:color w:val="000000" w:themeColor="text1"/>
          <w:lang w:eastAsia="en-GB"/>
        </w:rPr>
        <w:t>Kahraman</w:t>
      </w:r>
      <w:proofErr w:type="spellEnd"/>
      <w:r w:rsidRPr="00566D00">
        <w:rPr>
          <w:rFonts w:ascii="Calibri" w:hAnsi="Calibri" w:cs="Calibri"/>
          <w:color w:val="000000" w:themeColor="text1"/>
          <w:lang w:eastAsia="en-GB"/>
        </w:rPr>
        <w:t>. Key lenders include Tate, V&amp;A Museum, Royal Academy of Art, De Morgan Foundation, Guildhall Art Gallery, Russell-Cotes Art Gallery &amp; Museum, and Leeds Art Gallery, as well as private collections and direct from artists.</w:t>
      </w:r>
      <w:r w:rsidRPr="00566D00">
        <w:rPr>
          <w:rFonts w:cstheme="minorHAnsi"/>
          <w:color w:val="000000" w:themeColor="text1"/>
          <w:lang w:eastAsia="en-GB"/>
        </w:rPr>
        <w:t xml:space="preserve">  </w:t>
      </w:r>
    </w:p>
    <w:p w14:paraId="34A54805" w14:textId="70982287" w:rsidR="003170EF" w:rsidRPr="00566D00" w:rsidRDefault="003170EF" w:rsidP="003170EF">
      <w:pPr>
        <w:spacing w:after="0" w:line="252" w:lineRule="auto"/>
        <w:rPr>
          <w:rFonts w:cstheme="minorHAnsi"/>
          <w:color w:val="000000" w:themeColor="text1"/>
          <w:lang w:eastAsia="en-GB"/>
        </w:rPr>
      </w:pPr>
    </w:p>
    <w:p w14:paraId="5B2D6F8D" w14:textId="177198B2" w:rsidR="00E92041" w:rsidRPr="00566D00" w:rsidRDefault="00E5137B" w:rsidP="006C14EB">
      <w:pPr>
        <w:spacing w:line="252" w:lineRule="auto"/>
        <w:rPr>
          <w:rFonts w:cstheme="minorHAnsi"/>
          <w:color w:val="000000" w:themeColor="text1"/>
          <w:lang w:eastAsia="en-GB"/>
        </w:rPr>
      </w:pPr>
      <w:r>
        <w:rPr>
          <w:noProof/>
          <w:lang w:eastAsia="en-GB"/>
        </w:rPr>
        <w:drawing>
          <wp:anchor distT="0" distB="0" distL="114300" distR="114300" simplePos="0" relativeHeight="251683840" behindDoc="1" locked="0" layoutInCell="1" allowOverlap="1" wp14:anchorId="2590A649" wp14:editId="7BFB9DAE">
            <wp:simplePos x="0" y="0"/>
            <wp:positionH relativeFrom="margin">
              <wp:align>left</wp:align>
            </wp:positionH>
            <wp:positionV relativeFrom="paragraph">
              <wp:posOffset>-40005</wp:posOffset>
            </wp:positionV>
            <wp:extent cx="1982470" cy="2527300"/>
            <wp:effectExtent l="0" t="0" r="0" b="6350"/>
            <wp:wrapTight wrapText="bothSides">
              <wp:wrapPolygon edited="0">
                <wp:start x="0" y="0"/>
                <wp:lineTo x="0" y="21491"/>
                <wp:lineTo x="21379" y="21491"/>
                <wp:lineTo x="2137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2470"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041" w:rsidRPr="00566D00">
        <w:rPr>
          <w:rFonts w:cstheme="minorHAnsi"/>
          <w:color w:val="000000" w:themeColor="text1"/>
          <w:lang w:eastAsia="en-GB"/>
        </w:rPr>
        <w:t>The loans are supported by the Weston Loan Programme with Art Fund. Created by the Garfield Weston Foundation and Art Fund, the Weston Loan Programme is the first ever UK-wide funding scheme to enable smaller and local authority museums to borrow works of art and artefacts from national collections.</w:t>
      </w:r>
    </w:p>
    <w:p w14:paraId="7787BD0E" w14:textId="57FF58FE" w:rsidR="006C14EB" w:rsidRPr="00566D00" w:rsidRDefault="00694BEC" w:rsidP="009F0B62">
      <w:pPr>
        <w:spacing w:line="252" w:lineRule="auto"/>
        <w:rPr>
          <w:rFonts w:ascii="Calibri" w:hAnsi="Calibri" w:cs="Calibri"/>
          <w:color w:val="000000" w:themeColor="text1"/>
        </w:rPr>
      </w:pPr>
      <w:r w:rsidRPr="00566D00">
        <w:rPr>
          <w:rFonts w:cstheme="minorHAnsi"/>
          <w:i/>
          <w:color w:val="000000" w:themeColor="text1"/>
        </w:rPr>
        <w:t xml:space="preserve">The Enchanted Interior </w:t>
      </w:r>
      <w:r w:rsidR="001450A2" w:rsidRPr="00566D00">
        <w:rPr>
          <w:rFonts w:ascii="Calibri" w:hAnsi="Calibri" w:cs="Calibri"/>
          <w:color w:val="000000" w:themeColor="text1"/>
        </w:rPr>
        <w:t>is</w:t>
      </w:r>
      <w:r w:rsidR="009F0B62" w:rsidRPr="00566D00">
        <w:rPr>
          <w:rFonts w:ascii="Calibri" w:hAnsi="Calibri" w:cs="Calibri"/>
          <w:color w:val="000000" w:themeColor="text1"/>
        </w:rPr>
        <w:t xml:space="preserve"> built around three significant works in the Laing collection</w:t>
      </w:r>
      <w:r w:rsidR="006C14EB" w:rsidRPr="00566D00">
        <w:rPr>
          <w:rFonts w:ascii="Calibri" w:hAnsi="Calibri" w:cs="Calibri"/>
          <w:color w:val="000000" w:themeColor="text1"/>
        </w:rPr>
        <w:t xml:space="preserve"> where women are trapped</w:t>
      </w:r>
      <w:r w:rsidR="00290A24">
        <w:rPr>
          <w:rFonts w:ascii="Calibri" w:hAnsi="Calibri" w:cs="Calibri"/>
          <w:color w:val="000000" w:themeColor="text1"/>
        </w:rPr>
        <w:t xml:space="preserve"> -</w:t>
      </w:r>
      <w:r w:rsidR="00E877F0">
        <w:rPr>
          <w:rFonts w:ascii="Calibri" w:hAnsi="Calibri" w:cs="Calibri"/>
          <w:color w:val="000000" w:themeColor="text1"/>
        </w:rPr>
        <w:t xml:space="preserve"> </w:t>
      </w:r>
      <w:r w:rsidR="00290A24">
        <w:rPr>
          <w:rFonts w:ascii="Calibri" w:hAnsi="Calibri" w:cs="Calibri"/>
          <w:color w:val="000000" w:themeColor="text1"/>
        </w:rPr>
        <w:t>psychologically or physically -</w:t>
      </w:r>
      <w:r w:rsidR="006C14EB" w:rsidRPr="00566D00">
        <w:rPr>
          <w:rFonts w:ascii="Calibri" w:hAnsi="Calibri" w:cs="Calibri"/>
          <w:color w:val="000000" w:themeColor="text1"/>
        </w:rPr>
        <w:t xml:space="preserve"> in the environments we see them pictured in</w:t>
      </w:r>
      <w:r w:rsidR="009F0B62" w:rsidRPr="00566D00">
        <w:rPr>
          <w:rFonts w:ascii="Calibri" w:hAnsi="Calibri" w:cs="Calibri"/>
          <w:color w:val="000000" w:themeColor="text1"/>
        </w:rPr>
        <w:t xml:space="preserve">: Edward Burne-Jones’ </w:t>
      </w:r>
      <w:proofErr w:type="spellStart"/>
      <w:r w:rsidR="009F0B62" w:rsidRPr="00566D00">
        <w:rPr>
          <w:rFonts w:ascii="Calibri" w:hAnsi="Calibri" w:cs="Calibri"/>
          <w:i/>
          <w:iCs/>
          <w:color w:val="000000" w:themeColor="text1"/>
        </w:rPr>
        <w:t>Laus</w:t>
      </w:r>
      <w:proofErr w:type="spellEnd"/>
      <w:r w:rsidR="009F0B62" w:rsidRPr="00566D00">
        <w:rPr>
          <w:rFonts w:ascii="Calibri" w:hAnsi="Calibri" w:cs="Calibri"/>
          <w:i/>
          <w:iCs/>
          <w:color w:val="000000" w:themeColor="text1"/>
        </w:rPr>
        <w:t xml:space="preserve"> Veneris</w:t>
      </w:r>
      <w:r w:rsidR="009F0B62" w:rsidRPr="00566D00">
        <w:rPr>
          <w:rFonts w:ascii="Calibri" w:hAnsi="Calibri" w:cs="Calibri"/>
          <w:color w:val="000000" w:themeColor="text1"/>
        </w:rPr>
        <w:t xml:space="preserve"> (1873-75)</w:t>
      </w:r>
      <w:r w:rsidR="006C14EB" w:rsidRPr="00566D00">
        <w:rPr>
          <w:rFonts w:ascii="Calibri" w:hAnsi="Calibri" w:cs="Calibri"/>
          <w:color w:val="000000" w:themeColor="text1"/>
        </w:rPr>
        <w:t xml:space="preserve"> shows Venus in  </w:t>
      </w:r>
      <w:r w:rsidR="00520154">
        <w:rPr>
          <w:rFonts w:ascii="Calibri" w:hAnsi="Calibri" w:cs="Calibri"/>
          <w:color w:val="000000" w:themeColor="text1"/>
        </w:rPr>
        <w:t xml:space="preserve">the </w:t>
      </w:r>
      <w:r w:rsidR="00E877F0">
        <w:rPr>
          <w:rFonts w:ascii="Calibri" w:hAnsi="Calibri" w:cs="Calibri"/>
          <w:color w:val="000000" w:themeColor="text1"/>
        </w:rPr>
        <w:t xml:space="preserve">claustrophobic </w:t>
      </w:r>
      <w:r w:rsidR="00520154">
        <w:rPr>
          <w:rFonts w:ascii="Calibri" w:hAnsi="Calibri" w:cs="Calibri"/>
          <w:color w:val="000000" w:themeColor="text1"/>
        </w:rPr>
        <w:t xml:space="preserve">chambers of her </w:t>
      </w:r>
      <w:r w:rsidR="00E877F0">
        <w:rPr>
          <w:rFonts w:ascii="Calibri" w:hAnsi="Calibri" w:cs="Calibri"/>
          <w:color w:val="000000" w:themeColor="text1"/>
        </w:rPr>
        <w:t>court</w:t>
      </w:r>
      <w:r w:rsidR="009F0B62" w:rsidRPr="00566D00">
        <w:rPr>
          <w:rFonts w:ascii="Calibri" w:hAnsi="Calibri" w:cs="Calibri"/>
          <w:color w:val="000000" w:themeColor="text1"/>
        </w:rPr>
        <w:t xml:space="preserve">; John Frederick Lewis’ </w:t>
      </w:r>
      <w:r w:rsidR="009F0B62" w:rsidRPr="00566D00">
        <w:rPr>
          <w:rFonts w:ascii="Calibri" w:hAnsi="Calibri" w:cs="Calibri"/>
          <w:i/>
          <w:iCs/>
          <w:color w:val="000000" w:themeColor="text1"/>
        </w:rPr>
        <w:t>Hhareem Life, Constantinople</w:t>
      </w:r>
      <w:r w:rsidR="009F0B62" w:rsidRPr="00566D00">
        <w:rPr>
          <w:rFonts w:ascii="Calibri" w:hAnsi="Calibri" w:cs="Calibri"/>
          <w:color w:val="000000" w:themeColor="text1"/>
        </w:rPr>
        <w:t xml:space="preserve"> </w:t>
      </w:r>
      <w:r w:rsidR="00A356AE" w:rsidRPr="00566D00">
        <w:rPr>
          <w:rFonts w:ascii="Calibri" w:hAnsi="Calibri" w:cs="Calibri"/>
          <w:color w:val="000000" w:themeColor="text1"/>
        </w:rPr>
        <w:t xml:space="preserve"> </w:t>
      </w:r>
      <w:r w:rsidR="009F0B62" w:rsidRPr="00566D00">
        <w:rPr>
          <w:rFonts w:ascii="Calibri" w:hAnsi="Calibri" w:cs="Calibri"/>
          <w:color w:val="000000" w:themeColor="text1"/>
        </w:rPr>
        <w:t>(1857)</w:t>
      </w:r>
      <w:r w:rsidR="006C14EB" w:rsidRPr="00566D00">
        <w:rPr>
          <w:rFonts w:ascii="Calibri" w:hAnsi="Calibri" w:cs="Calibri"/>
          <w:color w:val="000000" w:themeColor="text1"/>
        </w:rPr>
        <w:t xml:space="preserve"> portrays two women in a harem, one gazing out of the window at the open spaces denied to her, and the other playing languidly with a domestic cat, a symbol for her own captivity</w:t>
      </w:r>
      <w:r w:rsidR="009F0B62" w:rsidRPr="00566D00">
        <w:rPr>
          <w:rFonts w:ascii="Calibri" w:hAnsi="Calibri" w:cs="Calibri"/>
          <w:color w:val="000000" w:themeColor="text1"/>
        </w:rPr>
        <w:t xml:space="preserve">; and a new acquisition, </w:t>
      </w:r>
      <w:proofErr w:type="spellStart"/>
      <w:r w:rsidR="009F0B62" w:rsidRPr="00566D00">
        <w:rPr>
          <w:rFonts w:ascii="Calibri" w:hAnsi="Calibri" w:cs="Calibri"/>
          <w:i/>
          <w:iCs/>
          <w:color w:val="000000" w:themeColor="text1"/>
        </w:rPr>
        <w:t>Nele</w:t>
      </w:r>
      <w:proofErr w:type="spellEnd"/>
      <w:r w:rsidR="009F0B62" w:rsidRPr="00566D00">
        <w:rPr>
          <w:rFonts w:ascii="Calibri" w:hAnsi="Calibri" w:cs="Calibri"/>
          <w:i/>
          <w:iCs/>
          <w:color w:val="000000" w:themeColor="text1"/>
        </w:rPr>
        <w:t>/Nellie</w:t>
      </w:r>
      <w:r w:rsidR="009F0B62" w:rsidRPr="00566D00">
        <w:rPr>
          <w:rFonts w:ascii="Calibri" w:hAnsi="Calibri" w:cs="Calibri"/>
          <w:color w:val="000000" w:themeColor="text1"/>
        </w:rPr>
        <w:t xml:space="preserve"> by </w:t>
      </w:r>
      <w:r w:rsidR="006C14EB" w:rsidRPr="00566D00">
        <w:rPr>
          <w:rFonts w:ascii="Calibri" w:hAnsi="Calibri" w:cs="Calibri"/>
          <w:color w:val="000000" w:themeColor="text1"/>
        </w:rPr>
        <w:t xml:space="preserve">Indonesian-born artist </w:t>
      </w:r>
      <w:r w:rsidR="009F0B62" w:rsidRPr="00566D00">
        <w:rPr>
          <w:rFonts w:ascii="Calibri" w:hAnsi="Calibri" w:cs="Calibri"/>
          <w:color w:val="000000" w:themeColor="text1"/>
        </w:rPr>
        <w:t>Fiona Tan (2013)</w:t>
      </w:r>
      <w:r w:rsidR="006C14EB" w:rsidRPr="00566D00">
        <w:rPr>
          <w:rFonts w:ascii="Calibri" w:hAnsi="Calibri" w:cs="Calibri"/>
          <w:color w:val="000000" w:themeColor="text1"/>
        </w:rPr>
        <w:t xml:space="preserve"> shows the illegitimate daughter of Rembrandt Van Rijn pacing unhappily around </w:t>
      </w:r>
      <w:r w:rsidR="00E877F0">
        <w:rPr>
          <w:rFonts w:ascii="Calibri" w:hAnsi="Calibri" w:cs="Calibri"/>
          <w:color w:val="000000" w:themeColor="text1"/>
        </w:rPr>
        <w:t>a highly decorative house</w:t>
      </w:r>
      <w:r w:rsidR="006C14EB" w:rsidRPr="00566D00">
        <w:rPr>
          <w:rFonts w:ascii="Calibri" w:hAnsi="Calibri" w:cs="Calibri"/>
          <w:color w:val="000000" w:themeColor="text1"/>
        </w:rPr>
        <w:t xml:space="preserve"> </w:t>
      </w:r>
      <w:r w:rsidR="00E877F0">
        <w:rPr>
          <w:rFonts w:ascii="Calibri" w:hAnsi="Calibri" w:cs="Calibri"/>
          <w:color w:val="000000" w:themeColor="text1"/>
        </w:rPr>
        <w:t xml:space="preserve">like the one she was confined to </w:t>
      </w:r>
      <w:r w:rsidR="006C14EB" w:rsidRPr="00566D00">
        <w:rPr>
          <w:rFonts w:ascii="Calibri" w:hAnsi="Calibri" w:cs="Calibri"/>
          <w:color w:val="000000" w:themeColor="text1"/>
        </w:rPr>
        <w:t>until her father’s death</w:t>
      </w:r>
      <w:r w:rsidR="009F0B62" w:rsidRPr="00566D00">
        <w:rPr>
          <w:rFonts w:ascii="Calibri" w:hAnsi="Calibri" w:cs="Calibri"/>
          <w:color w:val="000000" w:themeColor="text1"/>
        </w:rPr>
        <w:t xml:space="preserve">. </w:t>
      </w:r>
    </w:p>
    <w:p w14:paraId="583A062F" w14:textId="553BFCEA" w:rsidR="00F1308D" w:rsidRPr="00566D00" w:rsidRDefault="00025243" w:rsidP="002A1E49">
      <w:pPr>
        <w:spacing w:line="252" w:lineRule="auto"/>
        <w:rPr>
          <w:rFonts w:cstheme="minorHAnsi"/>
          <w:lang w:eastAsia="en-GB"/>
        </w:rPr>
      </w:pPr>
      <w:r>
        <w:rPr>
          <w:noProof/>
          <w:lang w:eastAsia="en-GB"/>
        </w:rPr>
        <w:lastRenderedPageBreak/>
        <w:drawing>
          <wp:anchor distT="0" distB="0" distL="114300" distR="114300" simplePos="0" relativeHeight="251684864" behindDoc="1" locked="0" layoutInCell="1" allowOverlap="1" wp14:anchorId="066E7B8E" wp14:editId="0333A4C4">
            <wp:simplePos x="0" y="0"/>
            <wp:positionH relativeFrom="column">
              <wp:posOffset>5312410</wp:posOffset>
            </wp:positionH>
            <wp:positionV relativeFrom="paragraph">
              <wp:posOffset>0</wp:posOffset>
            </wp:positionV>
            <wp:extent cx="1739265" cy="3093720"/>
            <wp:effectExtent l="0" t="0" r="0" b="0"/>
            <wp:wrapTight wrapText="bothSides">
              <wp:wrapPolygon edited="0">
                <wp:start x="0" y="0"/>
                <wp:lineTo x="0" y="21414"/>
                <wp:lineTo x="21292" y="21414"/>
                <wp:lineTo x="2129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9265"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BC8" w:rsidRPr="00566D00">
        <w:rPr>
          <w:rFonts w:cstheme="minorHAnsi"/>
          <w:lang w:eastAsia="en-GB"/>
        </w:rPr>
        <w:t xml:space="preserve">The </w:t>
      </w:r>
      <w:r w:rsidR="000A7CA1">
        <w:rPr>
          <w:rFonts w:cstheme="minorHAnsi"/>
          <w:lang w:eastAsia="en-GB"/>
        </w:rPr>
        <w:t>exhibition</w:t>
      </w:r>
      <w:r w:rsidR="002B1BC8" w:rsidRPr="00566D00">
        <w:rPr>
          <w:rFonts w:cstheme="minorHAnsi"/>
          <w:lang w:eastAsia="en-GB"/>
        </w:rPr>
        <w:t xml:space="preserve"> examines the interior as a site in which women become ornamental objects</w:t>
      </w:r>
      <w:r w:rsidR="000A7CA1">
        <w:rPr>
          <w:rFonts w:cstheme="minorHAnsi"/>
          <w:lang w:eastAsia="en-GB"/>
        </w:rPr>
        <w:t>, drawings</w:t>
      </w:r>
      <w:r w:rsidR="00465605" w:rsidRPr="00566D00">
        <w:rPr>
          <w:rFonts w:cstheme="minorHAnsi"/>
          <w:lang w:eastAsia="en-GB"/>
        </w:rPr>
        <w:t xml:space="preserve"> on classical myths that feature imprisoned </w:t>
      </w:r>
      <w:r w:rsidR="002C576D" w:rsidRPr="00566D00">
        <w:rPr>
          <w:rFonts w:cstheme="minorHAnsi"/>
          <w:lang w:eastAsia="en-GB"/>
        </w:rPr>
        <w:t>wom</w:t>
      </w:r>
      <w:r w:rsidR="002C576D">
        <w:rPr>
          <w:rFonts w:cstheme="minorHAnsi"/>
          <w:lang w:eastAsia="en-GB"/>
        </w:rPr>
        <w:t>e</w:t>
      </w:r>
      <w:r w:rsidR="002C576D" w:rsidRPr="00566D00">
        <w:rPr>
          <w:rFonts w:cstheme="minorHAnsi"/>
          <w:lang w:eastAsia="en-GB"/>
        </w:rPr>
        <w:t xml:space="preserve">n </w:t>
      </w:r>
      <w:r w:rsidR="00465605" w:rsidRPr="00566D00">
        <w:rPr>
          <w:rFonts w:cstheme="minorHAnsi"/>
          <w:lang w:eastAsia="en-GB"/>
        </w:rPr>
        <w:t xml:space="preserve">and share </w:t>
      </w:r>
      <w:r w:rsidR="00A2381D" w:rsidRPr="00566D00">
        <w:rPr>
          <w:rFonts w:cstheme="minorHAnsi"/>
          <w:lang w:eastAsia="en-GB"/>
        </w:rPr>
        <w:t>compositional trait</w:t>
      </w:r>
      <w:r w:rsidR="00465605" w:rsidRPr="00566D00">
        <w:rPr>
          <w:rFonts w:cstheme="minorHAnsi"/>
          <w:lang w:eastAsia="en-GB"/>
        </w:rPr>
        <w:t>s</w:t>
      </w:r>
      <w:r w:rsidR="00A2381D" w:rsidRPr="00566D00">
        <w:rPr>
          <w:rFonts w:cstheme="minorHAnsi"/>
          <w:lang w:eastAsia="en-GB"/>
        </w:rPr>
        <w:t xml:space="preserve"> </w:t>
      </w:r>
      <w:r w:rsidR="00465605" w:rsidRPr="00566D00">
        <w:rPr>
          <w:rFonts w:cstheme="minorHAnsi"/>
          <w:lang w:eastAsia="en-GB"/>
        </w:rPr>
        <w:t>-</w:t>
      </w:r>
      <w:r w:rsidR="00A2381D" w:rsidRPr="00566D00">
        <w:rPr>
          <w:rFonts w:cstheme="minorHAnsi"/>
          <w:lang w:eastAsia="en-GB"/>
        </w:rPr>
        <w:t xml:space="preserve"> the space is oppressive and lacking in depth</w:t>
      </w:r>
      <w:r w:rsidR="00465605" w:rsidRPr="00566D00">
        <w:rPr>
          <w:rFonts w:cstheme="minorHAnsi"/>
          <w:lang w:eastAsia="en-GB"/>
        </w:rPr>
        <w:t xml:space="preserve">, there is often </w:t>
      </w:r>
      <w:r w:rsidR="00A2381D" w:rsidRPr="00566D00">
        <w:rPr>
          <w:rFonts w:cstheme="minorHAnsi"/>
          <w:lang w:eastAsia="en-GB"/>
        </w:rPr>
        <w:t xml:space="preserve">a window </w:t>
      </w:r>
      <w:r w:rsidR="00465605" w:rsidRPr="00566D00">
        <w:rPr>
          <w:rFonts w:cstheme="minorHAnsi"/>
          <w:lang w:eastAsia="en-GB"/>
        </w:rPr>
        <w:t>(</w:t>
      </w:r>
      <w:r w:rsidR="00A2381D" w:rsidRPr="00566D00">
        <w:rPr>
          <w:rFonts w:cstheme="minorHAnsi"/>
          <w:lang w:eastAsia="en-GB"/>
        </w:rPr>
        <w:t>a view on to an inaccessible world</w:t>
      </w:r>
      <w:r w:rsidR="00465605" w:rsidRPr="00566D00">
        <w:rPr>
          <w:rFonts w:cstheme="minorHAnsi"/>
          <w:lang w:eastAsia="en-GB"/>
        </w:rPr>
        <w:t xml:space="preserve">) </w:t>
      </w:r>
      <w:r w:rsidR="00A2381D" w:rsidRPr="00566D00">
        <w:rPr>
          <w:rFonts w:cstheme="minorHAnsi"/>
          <w:lang w:eastAsia="en-GB"/>
        </w:rPr>
        <w:t xml:space="preserve">but never a door or an open path to reach it. </w:t>
      </w:r>
      <w:r w:rsidR="00465605" w:rsidRPr="00566D00">
        <w:rPr>
          <w:rFonts w:cstheme="minorHAnsi"/>
          <w:lang w:eastAsia="en-GB"/>
        </w:rPr>
        <w:t xml:space="preserve"> </w:t>
      </w:r>
      <w:r w:rsidR="00B21671" w:rsidRPr="00566D00">
        <w:rPr>
          <w:rFonts w:cstheme="minorHAnsi"/>
          <w:lang w:eastAsia="en-GB"/>
        </w:rPr>
        <w:t xml:space="preserve">Highlights will include Dante </w:t>
      </w:r>
      <w:r w:rsidR="00B21671" w:rsidRPr="00925C24">
        <w:rPr>
          <w:rFonts w:cstheme="minorHAnsi"/>
          <w:color w:val="000000" w:themeColor="text1"/>
          <w:lang w:eastAsia="en-GB"/>
        </w:rPr>
        <w:t xml:space="preserve">Gabriel Rossetti’s </w:t>
      </w:r>
      <w:r w:rsidR="001E1E6D" w:rsidRPr="00925C24">
        <w:rPr>
          <w:rFonts w:cstheme="minorHAnsi"/>
          <w:i/>
          <w:iCs/>
          <w:color w:val="000000" w:themeColor="text1"/>
          <w:lang w:eastAsia="en-GB"/>
        </w:rPr>
        <w:t xml:space="preserve">Marigolds (The Bower Maiden, Fleur-de-Marie) </w:t>
      </w:r>
      <w:r w:rsidR="001E1E6D" w:rsidRPr="00925C24">
        <w:rPr>
          <w:rFonts w:cstheme="minorHAnsi"/>
          <w:color w:val="000000" w:themeColor="text1"/>
          <w:lang w:eastAsia="en-GB"/>
        </w:rPr>
        <w:t xml:space="preserve">(1874, Nottingham City Museums), </w:t>
      </w:r>
      <w:r w:rsidR="002A1E49" w:rsidRPr="00925C24">
        <w:rPr>
          <w:rFonts w:cstheme="minorHAnsi"/>
          <w:color w:val="000000" w:themeColor="text1"/>
          <w:lang w:eastAsia="en-GB"/>
        </w:rPr>
        <w:t xml:space="preserve">William Holman Hunt’s </w:t>
      </w:r>
      <w:r w:rsidR="002A1E49" w:rsidRPr="00925C24">
        <w:rPr>
          <w:rFonts w:cstheme="minorHAnsi"/>
          <w:i/>
          <w:iCs/>
          <w:color w:val="000000" w:themeColor="text1"/>
          <w:lang w:eastAsia="en-GB"/>
        </w:rPr>
        <w:t>Past and Present</w:t>
      </w:r>
      <w:r w:rsidR="002A1E49" w:rsidRPr="00925C24">
        <w:rPr>
          <w:rFonts w:cstheme="minorHAnsi"/>
          <w:color w:val="000000" w:themeColor="text1"/>
          <w:lang w:eastAsia="en-GB"/>
        </w:rPr>
        <w:t xml:space="preserve"> (1868, Aberdeen Art Gallery &amp; Museums)</w:t>
      </w:r>
      <w:r w:rsidR="00424BD3" w:rsidRPr="00925C24">
        <w:rPr>
          <w:rFonts w:cstheme="minorHAnsi"/>
          <w:color w:val="000000" w:themeColor="text1"/>
          <w:lang w:eastAsia="en-GB"/>
        </w:rPr>
        <w:t xml:space="preserve">, </w:t>
      </w:r>
      <w:r w:rsidR="004C35E6" w:rsidRPr="00925C24">
        <w:rPr>
          <w:rFonts w:cstheme="minorHAnsi"/>
          <w:i/>
          <w:iCs/>
          <w:color w:val="000000" w:themeColor="text1"/>
          <w:lang w:eastAsia="en-GB"/>
        </w:rPr>
        <w:t xml:space="preserve">The Lady of </w:t>
      </w:r>
      <w:proofErr w:type="spellStart"/>
      <w:r w:rsidR="004C35E6" w:rsidRPr="00925C24">
        <w:rPr>
          <w:rFonts w:cstheme="minorHAnsi"/>
          <w:i/>
          <w:iCs/>
          <w:color w:val="000000" w:themeColor="text1"/>
          <w:lang w:eastAsia="en-GB"/>
        </w:rPr>
        <w:t>Shalott</w:t>
      </w:r>
      <w:proofErr w:type="spellEnd"/>
      <w:r w:rsidR="004C35E6" w:rsidRPr="00925C24">
        <w:rPr>
          <w:rFonts w:cstheme="minorHAnsi"/>
          <w:i/>
          <w:iCs/>
          <w:color w:val="000000" w:themeColor="text1"/>
          <w:lang w:eastAsia="en-GB"/>
        </w:rPr>
        <w:t xml:space="preserve"> (from the poem by Tennyson)</w:t>
      </w:r>
      <w:r w:rsidR="004C35E6" w:rsidRPr="00925C24">
        <w:rPr>
          <w:rFonts w:cstheme="minorHAnsi"/>
          <w:color w:val="000000" w:themeColor="text1"/>
          <w:lang w:eastAsia="en-GB"/>
        </w:rPr>
        <w:t xml:space="preserve"> by John William Waterhouse (</w:t>
      </w:r>
      <w:r w:rsidR="00925C24" w:rsidRPr="00925C24">
        <w:rPr>
          <w:rFonts w:cstheme="minorHAnsi"/>
          <w:color w:val="000000" w:themeColor="text1"/>
          <w:lang w:eastAsia="en-GB"/>
        </w:rPr>
        <w:t>c.1894</w:t>
      </w:r>
      <w:r w:rsidR="004C35E6" w:rsidRPr="00925C24">
        <w:rPr>
          <w:rFonts w:cstheme="minorHAnsi"/>
          <w:color w:val="000000" w:themeColor="text1"/>
          <w:lang w:eastAsia="en-GB"/>
        </w:rPr>
        <w:t xml:space="preserve"> Falmouth Art Gallery), </w:t>
      </w:r>
      <w:r w:rsidR="00424BD3" w:rsidRPr="00925C24">
        <w:rPr>
          <w:rFonts w:cstheme="minorHAnsi"/>
          <w:color w:val="000000" w:themeColor="text1"/>
          <w:lang w:eastAsia="en-GB"/>
        </w:rPr>
        <w:t xml:space="preserve">Emma Sandys’s </w:t>
      </w:r>
      <w:r w:rsidR="00424BD3" w:rsidRPr="00925C24">
        <w:rPr>
          <w:rFonts w:cstheme="minorHAnsi"/>
          <w:i/>
          <w:iCs/>
          <w:color w:val="000000" w:themeColor="text1"/>
          <w:lang w:eastAsia="en-GB"/>
        </w:rPr>
        <w:t>Viola</w:t>
      </w:r>
      <w:r w:rsidR="00424BD3" w:rsidRPr="00925C24">
        <w:rPr>
          <w:rFonts w:cstheme="minorHAnsi"/>
          <w:color w:val="000000" w:themeColor="text1"/>
          <w:lang w:eastAsia="en-GB"/>
        </w:rPr>
        <w:t xml:space="preserve"> (c.1865–1877, Walker Art Gallery)</w:t>
      </w:r>
      <w:r w:rsidR="00F650EB" w:rsidRPr="00925C24">
        <w:rPr>
          <w:rFonts w:cstheme="minorHAnsi"/>
          <w:color w:val="000000" w:themeColor="text1"/>
          <w:lang w:eastAsia="en-GB"/>
        </w:rPr>
        <w:t>,</w:t>
      </w:r>
      <w:r w:rsidR="00A348CA" w:rsidRPr="00925C24">
        <w:rPr>
          <w:rFonts w:cstheme="minorHAnsi"/>
          <w:color w:val="000000" w:themeColor="text1"/>
          <w:lang w:eastAsia="en-GB"/>
        </w:rPr>
        <w:t xml:space="preserve"> </w:t>
      </w:r>
      <w:r w:rsidR="00A348CA" w:rsidRPr="00925C24">
        <w:rPr>
          <w:rFonts w:cstheme="minorHAnsi"/>
          <w:i/>
          <w:iCs/>
          <w:color w:val="000000" w:themeColor="text1"/>
          <w:lang w:eastAsia="en-GB"/>
        </w:rPr>
        <w:t>A Moorish Girl with a Parakeet</w:t>
      </w:r>
      <w:r w:rsidR="00A348CA" w:rsidRPr="00925C24">
        <w:rPr>
          <w:rFonts w:cstheme="minorHAnsi"/>
          <w:color w:val="000000" w:themeColor="text1"/>
          <w:lang w:eastAsia="en-GB"/>
        </w:rPr>
        <w:t xml:space="preserve"> by Henriette Browne (1875, Russell-Cotes Art Gallery &amp; Museum)</w:t>
      </w:r>
      <w:r w:rsidR="00F650EB" w:rsidRPr="00925C24">
        <w:rPr>
          <w:rFonts w:cstheme="minorHAnsi"/>
          <w:color w:val="000000" w:themeColor="text1"/>
          <w:lang w:eastAsia="en-GB"/>
        </w:rPr>
        <w:t xml:space="preserve"> and </w:t>
      </w:r>
      <w:r w:rsidR="00F650EB" w:rsidRPr="00925C24">
        <w:rPr>
          <w:rFonts w:cstheme="minorHAnsi"/>
          <w:i/>
          <w:iCs/>
          <w:color w:val="000000" w:themeColor="text1"/>
          <w:lang w:eastAsia="en-GB"/>
        </w:rPr>
        <w:t>The Gilded Cage</w:t>
      </w:r>
      <w:r w:rsidR="00F650EB" w:rsidRPr="00925C24">
        <w:rPr>
          <w:rFonts w:cstheme="minorHAnsi"/>
          <w:color w:val="000000" w:themeColor="text1"/>
          <w:lang w:eastAsia="en-GB"/>
        </w:rPr>
        <w:t xml:space="preserve"> by Evelyn de Morgan (1900 – 1919, The De Morgan </w:t>
      </w:r>
      <w:r w:rsidR="00F650EB">
        <w:rPr>
          <w:rFonts w:cstheme="minorHAnsi"/>
          <w:lang w:eastAsia="en-GB"/>
        </w:rPr>
        <w:t>Foundation).</w:t>
      </w:r>
    </w:p>
    <w:p w14:paraId="77FAB20D" w14:textId="527D7924" w:rsidR="00AF636B" w:rsidRPr="00566D00" w:rsidRDefault="00025243" w:rsidP="00167F38">
      <w:pPr>
        <w:spacing w:line="252" w:lineRule="auto"/>
        <w:rPr>
          <w:rFonts w:cstheme="minorHAnsi"/>
          <w:lang w:eastAsia="en-GB"/>
        </w:rPr>
      </w:pPr>
      <w:r>
        <w:rPr>
          <w:noProof/>
          <w:lang w:eastAsia="en-GB"/>
        </w:rPr>
        <w:drawing>
          <wp:anchor distT="0" distB="0" distL="114300" distR="114300" simplePos="0" relativeHeight="251685888" behindDoc="1" locked="0" layoutInCell="1" allowOverlap="1" wp14:anchorId="5A40C8C6" wp14:editId="76F16666">
            <wp:simplePos x="0" y="0"/>
            <wp:positionH relativeFrom="column">
              <wp:posOffset>5333365</wp:posOffset>
            </wp:positionH>
            <wp:positionV relativeFrom="paragraph">
              <wp:posOffset>1096645</wp:posOffset>
            </wp:positionV>
            <wp:extent cx="1716405" cy="2233295"/>
            <wp:effectExtent l="0" t="0" r="0" b="0"/>
            <wp:wrapTight wrapText="bothSides">
              <wp:wrapPolygon edited="0">
                <wp:start x="0" y="0"/>
                <wp:lineTo x="0" y="21373"/>
                <wp:lineTo x="21336" y="21373"/>
                <wp:lineTo x="213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6405"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A7CA1">
        <w:rPr>
          <w:rFonts w:cstheme="minorHAnsi"/>
          <w:iCs/>
          <w:lang w:eastAsia="en-GB"/>
        </w:rPr>
        <w:t>Another theme is t</w:t>
      </w:r>
      <w:r w:rsidR="000A7CA1" w:rsidRPr="000A7CA1">
        <w:rPr>
          <w:rFonts w:cstheme="minorHAnsi"/>
          <w:iCs/>
          <w:lang w:eastAsia="en-GB"/>
        </w:rPr>
        <w:t>he</w:t>
      </w:r>
      <w:r w:rsidR="005E62DB" w:rsidRPr="000A7CA1">
        <w:rPr>
          <w:rFonts w:cstheme="minorHAnsi"/>
          <w:lang w:eastAsia="en-GB"/>
        </w:rPr>
        <w:t xml:space="preserve"> </w:t>
      </w:r>
      <w:r w:rsidR="005E62DB" w:rsidRPr="00566D00">
        <w:rPr>
          <w:rFonts w:cstheme="minorHAnsi"/>
          <w:lang w:eastAsia="en-GB"/>
        </w:rPr>
        <w:t>dual-edged tendency to depict real women as if they are objects, and to make objects in the image of women. A key loan is</w:t>
      </w:r>
      <w:r w:rsidR="002B1BC8" w:rsidRPr="00566D00">
        <w:rPr>
          <w:rFonts w:cstheme="minorHAnsi"/>
          <w:lang w:eastAsia="en-GB"/>
        </w:rPr>
        <w:t xml:space="preserve"> </w:t>
      </w:r>
      <w:r w:rsidR="00AF636B" w:rsidRPr="00566D00">
        <w:rPr>
          <w:rFonts w:cstheme="minorHAnsi"/>
          <w:i/>
          <w:iCs/>
          <w:lang w:eastAsia="en-GB"/>
        </w:rPr>
        <w:t>Pygmalion and Galatea</w:t>
      </w:r>
      <w:r w:rsidR="00AF636B" w:rsidRPr="00566D00">
        <w:rPr>
          <w:rFonts w:cstheme="minorHAnsi"/>
          <w:lang w:eastAsia="en-GB"/>
        </w:rPr>
        <w:t xml:space="preserve"> by Ernest Normand (1881, Atkinson Art Gallery Collection)</w:t>
      </w:r>
      <w:r w:rsidR="005E62DB" w:rsidRPr="00566D00">
        <w:rPr>
          <w:rFonts w:cstheme="minorHAnsi"/>
          <w:lang w:eastAsia="en-GB"/>
        </w:rPr>
        <w:t xml:space="preserve"> </w:t>
      </w:r>
      <w:r w:rsidR="00A77D21" w:rsidRPr="00566D00">
        <w:rPr>
          <w:rFonts w:cstheme="minorHAnsi"/>
          <w:lang w:eastAsia="en-GB"/>
        </w:rPr>
        <w:t xml:space="preserve">which </w:t>
      </w:r>
      <w:r w:rsidR="005E62DB" w:rsidRPr="00566D00">
        <w:rPr>
          <w:rFonts w:cstheme="minorHAnsi"/>
          <w:lang w:eastAsia="en-GB"/>
        </w:rPr>
        <w:t xml:space="preserve">depicts the Greek myth of the sculptor who fell in love with a statue he had carved out of ivory. </w:t>
      </w:r>
      <w:r w:rsidR="00BE2D12" w:rsidRPr="00566D00">
        <w:rPr>
          <w:rFonts w:cstheme="minorHAnsi"/>
          <w:lang w:eastAsia="en-GB"/>
        </w:rPr>
        <w:t xml:space="preserve">Also included </w:t>
      </w:r>
      <w:r w:rsidR="0079497B">
        <w:rPr>
          <w:rFonts w:cstheme="minorHAnsi"/>
          <w:lang w:eastAsia="en-GB"/>
        </w:rPr>
        <w:t xml:space="preserve">is a line engraving entitled </w:t>
      </w:r>
      <w:r w:rsidR="00BE2D12" w:rsidRPr="00566D00">
        <w:rPr>
          <w:rFonts w:cstheme="minorHAnsi"/>
          <w:i/>
          <w:iCs/>
          <w:lang w:eastAsia="en-GB"/>
        </w:rPr>
        <w:t>The Chosen Five</w:t>
      </w:r>
      <w:r w:rsidR="00BE2D12" w:rsidRPr="00566D00">
        <w:rPr>
          <w:rFonts w:cstheme="minorHAnsi"/>
          <w:lang w:eastAsia="en-GB"/>
        </w:rPr>
        <w:t xml:space="preserve"> </w:t>
      </w:r>
      <w:r w:rsidR="009E1A87">
        <w:t xml:space="preserve">by J. </w:t>
      </w:r>
      <w:proofErr w:type="spellStart"/>
      <w:r w:rsidR="009E1A87">
        <w:t>Cother</w:t>
      </w:r>
      <w:proofErr w:type="spellEnd"/>
      <w:r w:rsidR="009E1A87">
        <w:t xml:space="preserve"> Web 1890, </w:t>
      </w:r>
      <w:r w:rsidR="0079497B">
        <w:t>after the 1885 painting by</w:t>
      </w:r>
      <w:r w:rsidR="00F50972">
        <w:t xml:space="preserve"> </w:t>
      </w:r>
      <w:r w:rsidR="00BE2D12" w:rsidRPr="00566D00">
        <w:rPr>
          <w:rFonts w:cstheme="minorHAnsi"/>
          <w:lang w:eastAsia="en-GB"/>
        </w:rPr>
        <w:t>Edwin Long (1885, Russell-Cotes Art Gallery &amp; Museum)</w:t>
      </w:r>
      <w:r w:rsidR="00BE2D12" w:rsidRPr="00566D00">
        <w:t xml:space="preserve"> which showcases the </w:t>
      </w:r>
      <w:r w:rsidR="00BE2D12" w:rsidRPr="00566D00">
        <w:rPr>
          <w:rFonts w:cstheme="minorHAnsi"/>
          <w:lang w:eastAsia="en-GB"/>
        </w:rPr>
        <w:t>Victorian fascination with the myth of the artist Zeuxis, who in his pursuit of the ideal model for his depiction of Helen of Troy, selects characteristics from five different female models.</w:t>
      </w:r>
      <w:r w:rsidR="00167F38" w:rsidRPr="00566D00">
        <w:t xml:space="preserve"> </w:t>
      </w:r>
      <w:r w:rsidR="00167F38" w:rsidRPr="00566D00">
        <w:rPr>
          <w:rFonts w:cstheme="minorHAnsi"/>
          <w:lang w:eastAsia="en-GB"/>
        </w:rPr>
        <w:t xml:space="preserve">Sir George Frampton’s </w:t>
      </w:r>
      <w:r w:rsidR="00167F38" w:rsidRPr="00566D00">
        <w:rPr>
          <w:rFonts w:cstheme="minorHAnsi"/>
          <w:i/>
          <w:iCs/>
          <w:lang w:eastAsia="en-GB"/>
        </w:rPr>
        <w:t>Lamia</w:t>
      </w:r>
      <w:r w:rsidR="00167F38" w:rsidRPr="00566D00">
        <w:rPr>
          <w:rFonts w:cstheme="minorHAnsi"/>
          <w:lang w:eastAsia="en-GB"/>
        </w:rPr>
        <w:t xml:space="preserve"> (1899-1900, </w:t>
      </w:r>
      <w:r w:rsidR="00676A06" w:rsidRPr="00566D00">
        <w:rPr>
          <w:rFonts w:cstheme="minorHAnsi"/>
          <w:lang w:eastAsia="en-GB"/>
        </w:rPr>
        <w:t>Royal Academy</w:t>
      </w:r>
      <w:r w:rsidR="00167F38" w:rsidRPr="00566D00">
        <w:rPr>
          <w:rFonts w:cstheme="minorHAnsi"/>
          <w:lang w:eastAsia="en-GB"/>
        </w:rPr>
        <w:t xml:space="preserve">) is not only a mythical femme fatale </w:t>
      </w:r>
      <w:r w:rsidR="00676A06" w:rsidRPr="00566D00">
        <w:rPr>
          <w:rFonts w:cstheme="minorHAnsi"/>
          <w:lang w:eastAsia="en-GB"/>
        </w:rPr>
        <w:t xml:space="preserve">(from the Keats poem about </w:t>
      </w:r>
      <w:r w:rsidR="00676A06" w:rsidRPr="00566D00">
        <w:rPr>
          <w:color w:val="000000"/>
        </w:rPr>
        <w:t xml:space="preserve">a beautiful serpent-like creature who assumes female form to win the love of </w:t>
      </w:r>
      <w:r w:rsidR="008F40B4" w:rsidRPr="00566D00">
        <w:rPr>
          <w:color w:val="000000"/>
        </w:rPr>
        <w:t>a</w:t>
      </w:r>
      <w:r w:rsidR="00676A06" w:rsidRPr="00566D00">
        <w:rPr>
          <w:color w:val="000000"/>
        </w:rPr>
        <w:t xml:space="preserve"> morta</w:t>
      </w:r>
      <w:r w:rsidR="008F40B4" w:rsidRPr="00566D00">
        <w:rPr>
          <w:color w:val="000000"/>
        </w:rPr>
        <w:t>l</w:t>
      </w:r>
      <w:r w:rsidR="00676A06" w:rsidRPr="00566D00">
        <w:rPr>
          <w:color w:val="000000"/>
        </w:rPr>
        <w:t>)</w:t>
      </w:r>
      <w:r w:rsidR="00676A06" w:rsidRPr="00566D00">
        <w:rPr>
          <w:rFonts w:cstheme="minorHAnsi"/>
          <w:lang w:eastAsia="en-GB"/>
        </w:rPr>
        <w:t xml:space="preserve"> </w:t>
      </w:r>
      <w:r w:rsidR="00A77D21" w:rsidRPr="00566D00">
        <w:rPr>
          <w:rFonts w:cstheme="minorHAnsi"/>
          <w:lang w:eastAsia="en-GB"/>
        </w:rPr>
        <w:t>but</w:t>
      </w:r>
      <w:r w:rsidR="00167F38" w:rsidRPr="00566D00">
        <w:rPr>
          <w:rFonts w:cstheme="minorHAnsi"/>
          <w:lang w:eastAsia="en-GB"/>
        </w:rPr>
        <w:t xml:space="preserve"> the polychrome materials and realist depiction </w:t>
      </w:r>
      <w:r w:rsidR="00694BEC">
        <w:rPr>
          <w:rFonts w:cstheme="minorHAnsi"/>
          <w:lang w:eastAsia="en-GB"/>
        </w:rPr>
        <w:t xml:space="preserve">of the sculpture </w:t>
      </w:r>
      <w:r w:rsidR="00E14A62" w:rsidRPr="00566D00">
        <w:rPr>
          <w:rFonts w:cstheme="minorHAnsi"/>
          <w:lang w:eastAsia="en-GB"/>
        </w:rPr>
        <w:t xml:space="preserve">also </w:t>
      </w:r>
      <w:r w:rsidR="00167F38" w:rsidRPr="00566D00">
        <w:rPr>
          <w:rFonts w:cstheme="minorHAnsi"/>
          <w:lang w:eastAsia="en-GB"/>
        </w:rPr>
        <w:t xml:space="preserve">give the illusion that </w:t>
      </w:r>
      <w:r w:rsidR="00694BEC">
        <w:rPr>
          <w:rFonts w:cstheme="minorHAnsi"/>
          <w:lang w:eastAsia="en-GB"/>
        </w:rPr>
        <w:t xml:space="preserve">it </w:t>
      </w:r>
      <w:r w:rsidR="00167F38" w:rsidRPr="00566D00">
        <w:rPr>
          <w:rFonts w:cstheme="minorHAnsi"/>
          <w:lang w:eastAsia="en-GB"/>
        </w:rPr>
        <w:t>is a real woman frozen in stone.</w:t>
      </w:r>
      <w:r w:rsidR="00676A06" w:rsidRPr="00566D00">
        <w:rPr>
          <w:rFonts w:cstheme="minorHAnsi"/>
          <w:lang w:eastAsia="en-GB"/>
        </w:rPr>
        <w:t xml:space="preserve"> </w:t>
      </w:r>
      <w:r w:rsidR="00676A06" w:rsidRPr="00566D00">
        <w:rPr>
          <w:color w:val="000000"/>
        </w:rPr>
        <w:t xml:space="preserve">  </w:t>
      </w:r>
    </w:p>
    <w:p w14:paraId="46F0E6E6" w14:textId="329D3C4F" w:rsidR="00D43CB5" w:rsidRPr="00566D00" w:rsidRDefault="000A7CA1" w:rsidP="00D43CB5">
      <w:pPr>
        <w:spacing w:line="252" w:lineRule="auto"/>
        <w:rPr>
          <w:rFonts w:cstheme="minorHAnsi"/>
          <w:color w:val="000000" w:themeColor="text1"/>
          <w:spacing w:val="3"/>
          <w:shd w:val="clear" w:color="auto" w:fill="FFFFFF"/>
        </w:rPr>
      </w:pPr>
      <w:r w:rsidRPr="00566D00">
        <w:rPr>
          <w:rFonts w:cstheme="minorHAnsi"/>
          <w:i/>
          <w:iCs/>
          <w:color w:val="000000" w:themeColor="text1"/>
          <w:lang w:eastAsia="en-GB"/>
        </w:rPr>
        <w:t>The Enchanted Interior</w:t>
      </w:r>
      <w:r w:rsidRPr="00566D00">
        <w:rPr>
          <w:rFonts w:cstheme="minorHAnsi"/>
          <w:color w:val="000000" w:themeColor="text1"/>
          <w:lang w:eastAsia="en-GB"/>
        </w:rPr>
        <w:t xml:space="preserve"> </w:t>
      </w:r>
      <w:r>
        <w:rPr>
          <w:rFonts w:cstheme="minorHAnsi"/>
          <w:color w:val="000000" w:themeColor="text1"/>
          <w:lang w:eastAsia="en-GB"/>
        </w:rPr>
        <w:t xml:space="preserve">will </w:t>
      </w:r>
      <w:r w:rsidR="002B1BC8" w:rsidRPr="00566D00">
        <w:rPr>
          <w:rFonts w:cstheme="minorHAnsi"/>
          <w:color w:val="000000" w:themeColor="text1"/>
          <w:lang w:eastAsia="en-GB"/>
        </w:rPr>
        <w:t xml:space="preserve">foreground works in which </w:t>
      </w:r>
      <w:r w:rsidR="0060176B">
        <w:rPr>
          <w:rFonts w:cstheme="minorHAnsi"/>
          <w:color w:val="000000" w:themeColor="text1"/>
          <w:lang w:eastAsia="en-GB"/>
        </w:rPr>
        <w:t xml:space="preserve">female </w:t>
      </w:r>
      <w:r w:rsidR="002B1BC8" w:rsidRPr="00566D00">
        <w:rPr>
          <w:rFonts w:cstheme="minorHAnsi"/>
          <w:color w:val="000000" w:themeColor="text1"/>
          <w:lang w:eastAsia="en-GB"/>
        </w:rPr>
        <w:t>artists resist the tropes of the gilded cage, or appropriate them for their own ends.</w:t>
      </w:r>
      <w:r w:rsidR="006F20C2" w:rsidRPr="00566D00">
        <w:rPr>
          <w:rFonts w:cstheme="minorHAnsi"/>
          <w:color w:val="000000" w:themeColor="text1"/>
        </w:rPr>
        <w:t xml:space="preserve"> </w:t>
      </w:r>
      <w:r w:rsidR="00D43CB5" w:rsidRPr="00566D00">
        <w:rPr>
          <w:rFonts w:cstheme="minorHAnsi"/>
          <w:color w:val="000000" w:themeColor="text1"/>
        </w:rPr>
        <w:t xml:space="preserve">A work that has been key to the creation of the whole exhibition is </w:t>
      </w:r>
      <w:r w:rsidR="006F20C2" w:rsidRPr="00566D00">
        <w:rPr>
          <w:rFonts w:cstheme="minorHAnsi"/>
          <w:color w:val="000000" w:themeColor="text1"/>
        </w:rPr>
        <w:t xml:space="preserve">Mona </w:t>
      </w:r>
      <w:proofErr w:type="spellStart"/>
      <w:r w:rsidR="006F20C2" w:rsidRPr="00566D00">
        <w:rPr>
          <w:rFonts w:cstheme="minorHAnsi"/>
          <w:color w:val="000000" w:themeColor="text1"/>
        </w:rPr>
        <w:t>Hatoum’s</w:t>
      </w:r>
      <w:proofErr w:type="spellEnd"/>
      <w:r w:rsidR="006F20C2" w:rsidRPr="00566D00">
        <w:rPr>
          <w:rFonts w:cstheme="minorHAnsi"/>
          <w:color w:val="000000" w:themeColor="text1"/>
        </w:rPr>
        <w:t xml:space="preserve"> </w:t>
      </w:r>
      <w:r w:rsidR="008062CF">
        <w:rPr>
          <w:rFonts w:cstheme="minorHAnsi"/>
          <w:color w:val="000000" w:themeColor="text1"/>
        </w:rPr>
        <w:t>installation</w:t>
      </w:r>
      <w:r w:rsidR="008062CF" w:rsidRPr="00566D00">
        <w:rPr>
          <w:rFonts w:cstheme="minorHAnsi"/>
          <w:color w:val="000000" w:themeColor="text1"/>
        </w:rPr>
        <w:t xml:space="preserve"> </w:t>
      </w:r>
      <w:r w:rsidR="006F20C2" w:rsidRPr="00566D00">
        <w:rPr>
          <w:rFonts w:cstheme="minorHAnsi"/>
          <w:i/>
          <w:iCs/>
          <w:color w:val="000000" w:themeColor="text1"/>
        </w:rPr>
        <w:t>Home</w:t>
      </w:r>
      <w:r w:rsidR="006F20C2" w:rsidRPr="00566D00">
        <w:rPr>
          <w:rFonts w:cstheme="minorHAnsi"/>
          <w:color w:val="000000" w:themeColor="text1"/>
        </w:rPr>
        <w:t xml:space="preserve"> (1999, Tate)</w:t>
      </w:r>
      <w:r w:rsidR="00D43CB5" w:rsidRPr="00566D00">
        <w:rPr>
          <w:rFonts w:cstheme="minorHAnsi"/>
          <w:color w:val="000000" w:themeColor="text1"/>
        </w:rPr>
        <w:t xml:space="preserve">. </w:t>
      </w:r>
      <w:proofErr w:type="spellStart"/>
      <w:r w:rsidR="00D43CB5" w:rsidRPr="00566D00">
        <w:rPr>
          <w:rFonts w:cstheme="minorHAnsi"/>
          <w:color w:val="000000" w:themeColor="text1"/>
        </w:rPr>
        <w:t>Hatoum</w:t>
      </w:r>
      <w:proofErr w:type="spellEnd"/>
      <w:r w:rsidR="006F20C2" w:rsidRPr="00566D00">
        <w:rPr>
          <w:rFonts w:cstheme="minorHAnsi"/>
          <w:color w:val="000000" w:themeColor="text1"/>
        </w:rPr>
        <w:t xml:space="preserve"> </w:t>
      </w:r>
      <w:r w:rsidR="00D43CB5" w:rsidRPr="00566D00">
        <w:rPr>
          <w:rFonts w:cstheme="minorHAnsi"/>
          <w:color w:val="000000" w:themeColor="text1"/>
          <w:spacing w:val="3"/>
          <w:shd w:val="clear" w:color="auto" w:fill="FFFFFF"/>
        </w:rPr>
        <w:t xml:space="preserve">appropriates objects related to the domestic kitchen, traditionally a feminine domain, and gives them a menacing, uncanny edge - potentially lethal electrical currents course through wires connected to items such as a colander, a whisk, a ladle and a heart-shaped pastry cutter. </w:t>
      </w:r>
    </w:p>
    <w:p w14:paraId="25EB7363" w14:textId="58F0AA3C" w:rsidR="00536FD3" w:rsidRPr="00566D00" w:rsidRDefault="00856095" w:rsidP="00A20009">
      <w:pPr>
        <w:rPr>
          <w:rFonts w:cstheme="minorHAnsi"/>
          <w:lang w:eastAsia="en-GB"/>
        </w:rPr>
      </w:pPr>
      <w:r>
        <w:rPr>
          <w:rFonts w:cstheme="minorHAnsi"/>
          <w:noProof/>
          <w:sz w:val="20"/>
          <w:lang w:eastAsia="en-GB"/>
        </w:rPr>
        <w:drawing>
          <wp:anchor distT="0" distB="0" distL="114300" distR="114300" simplePos="0" relativeHeight="251687936" behindDoc="1" locked="0" layoutInCell="1" allowOverlap="1" wp14:anchorId="7C7E26C9" wp14:editId="3CBB1953">
            <wp:simplePos x="0" y="0"/>
            <wp:positionH relativeFrom="margin">
              <wp:posOffset>5286375</wp:posOffset>
            </wp:positionH>
            <wp:positionV relativeFrom="paragraph">
              <wp:posOffset>10160</wp:posOffset>
            </wp:positionV>
            <wp:extent cx="1733550" cy="1728470"/>
            <wp:effectExtent l="0" t="0" r="0" b="5080"/>
            <wp:wrapTight wrapText="bothSides">
              <wp:wrapPolygon edited="0">
                <wp:start x="0" y="0"/>
                <wp:lineTo x="0" y="21425"/>
                <wp:lineTo x="21363" y="21425"/>
                <wp:lineTo x="213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ancesca Woodman 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3550" cy="1728470"/>
                    </a:xfrm>
                    <a:prstGeom prst="rect">
                      <a:avLst/>
                    </a:prstGeom>
                  </pic:spPr>
                </pic:pic>
              </a:graphicData>
            </a:graphic>
            <wp14:sizeRelH relativeFrom="page">
              <wp14:pctWidth>0</wp14:pctWidth>
            </wp14:sizeRelH>
            <wp14:sizeRelV relativeFrom="page">
              <wp14:pctHeight>0</wp14:pctHeight>
            </wp14:sizeRelV>
          </wp:anchor>
        </w:drawing>
      </w:r>
      <w:r w:rsidR="00536FD3" w:rsidRPr="00566D00">
        <w:rPr>
          <w:rFonts w:cstheme="minorHAnsi"/>
        </w:rPr>
        <w:t xml:space="preserve">Exhibition curator Madeleine Kennedy says: </w:t>
      </w:r>
      <w:bookmarkStart w:id="1" w:name="_Hlk16067110"/>
      <w:r w:rsidR="00A20009">
        <w:t>“</w:t>
      </w:r>
      <w:r w:rsidR="00A20009" w:rsidRPr="00A20009">
        <w:rPr>
          <w:i/>
          <w:iCs/>
        </w:rPr>
        <w:t>Although beautiful to behold, in many of these works, the interiors we see women inhabiting are governed by invisible but unbreakable rules, oppressive expectations, and in some cases, unseen tyrants. Through remarkable works by female artists, the allure of the enchanted interior is complicated, cutting through the outer illusion of opulence to the complex realities beneath, and offering alternatives ways of seeing the world and women’s place in it.”</w:t>
      </w:r>
      <w:bookmarkEnd w:id="1"/>
      <w:r w:rsidR="005821C7" w:rsidRPr="005821C7">
        <w:t xml:space="preserve"> </w:t>
      </w:r>
    </w:p>
    <w:p w14:paraId="54B6718F" w14:textId="68DADCEF" w:rsidR="00536FD3" w:rsidRDefault="00856095" w:rsidP="00A20009">
      <w:pPr>
        <w:rPr>
          <w:i/>
          <w:iCs/>
        </w:rPr>
      </w:pPr>
      <w:r>
        <w:rPr>
          <w:noProof/>
          <w:lang w:eastAsia="en-GB"/>
        </w:rPr>
        <w:drawing>
          <wp:anchor distT="0" distB="0" distL="114300" distR="114300" simplePos="0" relativeHeight="251686912" behindDoc="1" locked="0" layoutInCell="1" allowOverlap="1" wp14:anchorId="4F96FEA7" wp14:editId="51E1DF78">
            <wp:simplePos x="0" y="0"/>
            <wp:positionH relativeFrom="margin">
              <wp:posOffset>5250815</wp:posOffset>
            </wp:positionH>
            <wp:positionV relativeFrom="paragraph">
              <wp:posOffset>709295</wp:posOffset>
            </wp:positionV>
            <wp:extent cx="1860550" cy="1457325"/>
            <wp:effectExtent l="0" t="0" r="6350" b="9525"/>
            <wp:wrapTight wrapText="bothSides">
              <wp:wrapPolygon edited="0">
                <wp:start x="0" y="0"/>
                <wp:lineTo x="0" y="21459"/>
                <wp:lineTo x="21453" y="21459"/>
                <wp:lineTo x="2145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05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FD3" w:rsidRPr="00566D00">
        <w:rPr>
          <w:rFonts w:cstheme="minorHAnsi"/>
          <w:color w:val="000000" w:themeColor="text1"/>
        </w:rPr>
        <w:t>Julie Milne, Chief Curator of the Laing, Hatton and Shipley Art Galleries, says:</w:t>
      </w:r>
      <w:r w:rsidR="00A20009">
        <w:t xml:space="preserve"> </w:t>
      </w:r>
      <w:r w:rsidR="00A20009" w:rsidRPr="00A20009">
        <w:rPr>
          <w:i/>
          <w:iCs/>
        </w:rPr>
        <w:t>“As is the case for many museums, some of the most beloved pieces in our collection are also among the most</w:t>
      </w:r>
      <w:r w:rsidR="00B01C57">
        <w:rPr>
          <w:i/>
          <w:iCs/>
        </w:rPr>
        <w:t xml:space="preserve"> problematic,</w:t>
      </w:r>
      <w:r w:rsidR="001459D2">
        <w:rPr>
          <w:i/>
          <w:iCs/>
        </w:rPr>
        <w:t xml:space="preserve"> </w:t>
      </w:r>
      <w:r w:rsidR="00A20009" w:rsidRPr="00A20009">
        <w:rPr>
          <w:i/>
          <w:iCs/>
        </w:rPr>
        <w:t xml:space="preserve">in this case harbouring thinly veiled expectations about women that we now recognise as </w:t>
      </w:r>
      <w:r w:rsidR="00B01C57">
        <w:rPr>
          <w:i/>
          <w:iCs/>
        </w:rPr>
        <w:t>detrimental</w:t>
      </w:r>
      <w:r w:rsidR="00A20009" w:rsidRPr="00A20009">
        <w:rPr>
          <w:i/>
          <w:iCs/>
        </w:rPr>
        <w:t xml:space="preserve">. Rather than shy away from showing such works because of the prejudices they reflect, in </w:t>
      </w:r>
      <w:r w:rsidR="00E051AC">
        <w:rPr>
          <w:i/>
          <w:iCs/>
        </w:rPr>
        <w:t>‘</w:t>
      </w:r>
      <w:r w:rsidR="00A20009" w:rsidRPr="00A20009">
        <w:rPr>
          <w:i/>
          <w:iCs/>
        </w:rPr>
        <w:t>The Enchanted Interior</w:t>
      </w:r>
      <w:r w:rsidR="00E051AC">
        <w:rPr>
          <w:i/>
          <w:iCs/>
        </w:rPr>
        <w:t>’</w:t>
      </w:r>
      <w:r w:rsidR="00A20009" w:rsidRPr="00A20009">
        <w:rPr>
          <w:i/>
          <w:iCs/>
        </w:rPr>
        <w:t>, our intention is to confront them with contemporary artists’ work that calls out their intoxicating effects, resulting in powerful dialogues between works that speak from radically different perspectives.”</w:t>
      </w:r>
    </w:p>
    <w:p w14:paraId="5D799CE1" w14:textId="18D4DAFD" w:rsidR="00B94C91" w:rsidRPr="00566D00" w:rsidRDefault="00B94C91" w:rsidP="00B94C91">
      <w:r w:rsidRPr="00860EEB">
        <w:t xml:space="preserve">Sophia </w:t>
      </w:r>
      <w:r>
        <w:t>Weston</w:t>
      </w:r>
      <w:r w:rsidRPr="00860EEB">
        <w:t xml:space="preserve">, Trustee of the Garfield Weston Foundation, said: </w:t>
      </w:r>
      <w:r w:rsidRPr="00662D86">
        <w:rPr>
          <w:i/>
        </w:rPr>
        <w:t xml:space="preserve">“We are delighted that these incredibly beautiful works of art are coming to </w:t>
      </w:r>
      <w:r>
        <w:rPr>
          <w:i/>
        </w:rPr>
        <w:t>Tyne &amp; Wear</w:t>
      </w:r>
      <w:r w:rsidRPr="00662D86">
        <w:rPr>
          <w:i/>
        </w:rPr>
        <w:t xml:space="preserve"> as part of our loan programme. When we started the Weston Loan Programme, we hoped it would help bring national treasures to many different communities across the UK and we are thrilled that the people of </w:t>
      </w:r>
      <w:r>
        <w:rPr>
          <w:i/>
        </w:rPr>
        <w:t>Newcastle</w:t>
      </w:r>
      <w:r w:rsidRPr="00662D86">
        <w:rPr>
          <w:i/>
        </w:rPr>
        <w:t xml:space="preserve"> will get to enjoy these masterpieces. We hope they will inspire the next generation of artists.”</w:t>
      </w:r>
    </w:p>
    <w:p w14:paraId="63797D05" w14:textId="77777777" w:rsidR="00B94C91" w:rsidRDefault="005B4EF0" w:rsidP="005B4EF0">
      <w:pPr>
        <w:spacing w:line="252" w:lineRule="auto"/>
        <w:rPr>
          <w:rFonts w:cstheme="minorHAnsi"/>
          <w:lang w:eastAsia="en-GB"/>
        </w:rPr>
      </w:pPr>
      <w:r w:rsidRPr="00566D00">
        <w:rPr>
          <w:rFonts w:cstheme="minorHAnsi"/>
          <w:i/>
          <w:iCs/>
          <w:lang w:eastAsia="en-GB"/>
        </w:rPr>
        <w:t>Th</w:t>
      </w:r>
      <w:r w:rsidR="00536FD3" w:rsidRPr="00566D00">
        <w:rPr>
          <w:rFonts w:cstheme="minorHAnsi"/>
          <w:i/>
          <w:iCs/>
          <w:lang w:eastAsia="en-GB"/>
        </w:rPr>
        <w:t>e Enchanted Interior</w:t>
      </w:r>
      <w:r w:rsidR="00536FD3" w:rsidRPr="00566D00">
        <w:rPr>
          <w:rFonts w:cstheme="minorHAnsi"/>
          <w:lang w:eastAsia="en-GB"/>
        </w:rPr>
        <w:t xml:space="preserve"> </w:t>
      </w:r>
      <w:r w:rsidRPr="00566D00">
        <w:rPr>
          <w:rFonts w:cstheme="minorHAnsi"/>
          <w:lang w:eastAsia="en-GB"/>
        </w:rPr>
        <w:t>has been developed by the Laing Art Gallery and will tour nationally.</w:t>
      </w:r>
    </w:p>
    <w:p w14:paraId="7880C2E6" w14:textId="065F79B4" w:rsidR="005B4EF0" w:rsidRPr="00566D00" w:rsidRDefault="005B4EF0" w:rsidP="005B4EF0">
      <w:pPr>
        <w:spacing w:line="252" w:lineRule="auto"/>
        <w:rPr>
          <w:rFonts w:cstheme="minorHAnsi"/>
          <w:lang w:eastAsia="en-GB"/>
        </w:rPr>
      </w:pPr>
      <w:r w:rsidRPr="00566D00">
        <w:rPr>
          <w:rFonts w:cstheme="minorHAnsi"/>
          <w:lang w:eastAsia="en-GB"/>
        </w:rPr>
        <w:lastRenderedPageBreak/>
        <w:t>Th</w:t>
      </w:r>
      <w:r w:rsidR="00536FD3" w:rsidRPr="00566D00">
        <w:rPr>
          <w:rFonts w:cstheme="minorHAnsi"/>
          <w:lang w:eastAsia="en-GB"/>
        </w:rPr>
        <w:t>e</w:t>
      </w:r>
      <w:r w:rsidRPr="00566D00">
        <w:rPr>
          <w:rFonts w:cstheme="minorHAnsi"/>
          <w:lang w:eastAsia="en-GB"/>
        </w:rPr>
        <w:t xml:space="preserve"> exhibition was made possible by grants from the Weston Loan Programme with Art Fund</w:t>
      </w:r>
      <w:r w:rsidRPr="00566D00">
        <w:rPr>
          <w:rFonts w:cstheme="minorHAnsi"/>
          <w:color w:val="1F497D"/>
          <w:lang w:eastAsia="en-GB"/>
        </w:rPr>
        <w:t>,</w:t>
      </w:r>
      <w:r w:rsidRPr="00566D00">
        <w:rPr>
          <w:rFonts w:cstheme="minorHAnsi"/>
          <w:lang w:eastAsia="en-GB"/>
        </w:rPr>
        <w:t xml:space="preserve"> the John Ellerman Foundation, The Henry Moore Foundation, and a Jonathan </w:t>
      </w:r>
      <w:proofErr w:type="spellStart"/>
      <w:r w:rsidRPr="00566D00">
        <w:rPr>
          <w:rFonts w:cstheme="minorHAnsi"/>
          <w:lang w:eastAsia="en-GB"/>
        </w:rPr>
        <w:t>Ruffer</w:t>
      </w:r>
      <w:proofErr w:type="spellEnd"/>
      <w:r w:rsidRPr="00566D00">
        <w:rPr>
          <w:rFonts w:cstheme="minorHAnsi"/>
          <w:lang w:eastAsia="en-GB"/>
        </w:rPr>
        <w:t xml:space="preserve"> Curatorial Research Grant from Art Fund. It will be accompanied by an illustrated publication made possible by a grant from the Paul Mellon Centre for Studies in British Art. </w:t>
      </w:r>
      <w:r w:rsidR="00727161">
        <w:rPr>
          <w:rFonts w:cstheme="minorHAnsi"/>
          <w:lang w:eastAsia="en-GB"/>
        </w:rPr>
        <w:t>In kind support by Bon Bloemen.</w:t>
      </w:r>
    </w:p>
    <w:p w14:paraId="7A52FCB6" w14:textId="550E9302" w:rsidR="000B4015" w:rsidRPr="00694BEC" w:rsidRDefault="00123BE3" w:rsidP="00694BEC">
      <w:pPr>
        <w:pStyle w:val="NormalWeb"/>
        <w:rPr>
          <w:rFonts w:asciiTheme="minorHAnsi" w:hAnsiTheme="minorHAnsi" w:cstheme="minorHAnsi"/>
          <w:sz w:val="22"/>
          <w:szCs w:val="22"/>
        </w:rPr>
      </w:pPr>
      <w:r w:rsidRPr="00566D00">
        <w:rPr>
          <w:rFonts w:asciiTheme="minorHAnsi" w:hAnsiTheme="minorHAnsi" w:cstheme="minorHAnsi"/>
          <w:sz w:val="22"/>
          <w:szCs w:val="22"/>
        </w:rPr>
        <w:t>To find out more</w:t>
      </w:r>
      <w:r w:rsidR="00186BAB" w:rsidRPr="00566D00">
        <w:rPr>
          <w:rFonts w:asciiTheme="minorHAnsi" w:hAnsiTheme="minorHAnsi" w:cstheme="minorHAnsi"/>
          <w:sz w:val="22"/>
          <w:szCs w:val="22"/>
        </w:rPr>
        <w:t xml:space="preserve"> </w:t>
      </w:r>
      <w:r w:rsidRPr="00566D00">
        <w:rPr>
          <w:rFonts w:asciiTheme="minorHAnsi" w:hAnsiTheme="minorHAnsi" w:cstheme="minorHAnsi"/>
          <w:sz w:val="22"/>
          <w:szCs w:val="22"/>
        </w:rPr>
        <w:t xml:space="preserve">visit www.laingartgallery.org.uk, follow us on </w:t>
      </w:r>
      <w:r w:rsidR="0085454E" w:rsidRPr="00566D00">
        <w:rPr>
          <w:rFonts w:asciiTheme="minorHAnsi" w:hAnsiTheme="minorHAnsi" w:cstheme="minorHAnsi"/>
          <w:sz w:val="22"/>
          <w:szCs w:val="22"/>
        </w:rPr>
        <w:t xml:space="preserve">Instagram and </w:t>
      </w:r>
      <w:r w:rsidRPr="00566D00">
        <w:rPr>
          <w:rFonts w:asciiTheme="minorHAnsi" w:hAnsiTheme="minorHAnsi" w:cstheme="minorHAnsi"/>
          <w:sz w:val="22"/>
          <w:szCs w:val="22"/>
        </w:rPr>
        <w:t>Twitter @LaingArtGallery and ‘Laing Art Gallery’ on Facebook.</w:t>
      </w:r>
    </w:p>
    <w:p w14:paraId="16A0C7A9" w14:textId="09E161DA" w:rsidR="00D67D6C" w:rsidRPr="00EB543E" w:rsidRDefault="00B4601F" w:rsidP="00D67D6C">
      <w:pPr>
        <w:pStyle w:val="NoSpacing"/>
      </w:pPr>
      <w:r w:rsidRPr="0073766C">
        <w:rPr>
          <w:rFonts w:ascii="Calibri" w:hAnsi="Calibri" w:cs="Calibri"/>
          <w:b/>
          <w:szCs w:val="24"/>
          <w:u w:val="single"/>
        </w:rPr>
        <w:t xml:space="preserve">NOTES TO </w:t>
      </w:r>
      <w:r w:rsidRPr="00B4601F">
        <w:rPr>
          <w:rFonts w:asciiTheme="minorHAnsi" w:hAnsiTheme="minorHAnsi" w:cstheme="minorHAnsi"/>
          <w:b/>
          <w:u w:val="single"/>
        </w:rPr>
        <w:t>EDITORS</w:t>
      </w:r>
    </w:p>
    <w:p w14:paraId="60622981" w14:textId="52DB69A9" w:rsidR="001E1363" w:rsidRPr="00B94C91" w:rsidRDefault="001E1363" w:rsidP="001E1363">
      <w:pPr>
        <w:pStyle w:val="NoSpacing"/>
        <w:rPr>
          <w:rFonts w:asciiTheme="minorHAnsi" w:hAnsiTheme="minorHAnsi"/>
          <w:bCs/>
          <w:sz w:val="20"/>
        </w:rPr>
      </w:pPr>
      <w:r w:rsidRPr="00B94C91">
        <w:rPr>
          <w:rFonts w:asciiTheme="minorHAnsi" w:eastAsiaTheme="minorHAnsi" w:hAnsiTheme="minorHAnsi" w:cstheme="minorBidi"/>
          <w:bCs/>
          <w:sz w:val="20"/>
        </w:rPr>
        <w:t xml:space="preserve">All income generated from ticket sales support the </w:t>
      </w:r>
      <w:hyperlink r:id="rId12" w:history="1">
        <w:r w:rsidRPr="00B94C91">
          <w:rPr>
            <w:rStyle w:val="Hyperlink"/>
            <w:rFonts w:asciiTheme="minorHAnsi" w:eastAsiaTheme="minorHAnsi" w:hAnsiTheme="minorHAnsi" w:cstheme="minorBidi"/>
            <w:b/>
            <w:bCs/>
            <w:sz w:val="20"/>
          </w:rPr>
          <w:t>Laing Art Gallery’s</w:t>
        </w:r>
      </w:hyperlink>
      <w:r w:rsidRPr="00B94C91">
        <w:rPr>
          <w:rFonts w:asciiTheme="minorHAnsi" w:eastAsiaTheme="minorHAnsi" w:hAnsiTheme="minorHAnsi" w:cstheme="minorBidi"/>
          <w:bCs/>
          <w:sz w:val="20"/>
        </w:rPr>
        <w:t xml:space="preserve"> ambitious exhibition programme, help the gallery to inspire audiences through innovative learning activities and help keep the permanent collection free to all. The Laing Art Gallery is managed by Tyne &amp; Wear Archives &amp; Museums on behalf of Newcastle City Council and is home to an internationally important collection of art, focusing on British oil paintings, watercolours, ceramics, silver and glassware. The Gallery holds regularly changing exhibitions of historic, modern and contemporary art, and events including artist and curator talks and family activities. </w:t>
      </w:r>
      <w:r w:rsidRPr="00B94C91">
        <w:rPr>
          <w:rFonts w:asciiTheme="minorHAnsi" w:hAnsiTheme="minorHAnsi"/>
          <w:bCs/>
          <w:sz w:val="20"/>
        </w:rPr>
        <w:t>Recent achievements include becoming the first gallery to benefit from the Contemporary Art Society’s Great Works Scheme with an acquisition of a Glenn Brown work, and winning an award for Best Programme 2016 from Living North Magazines.</w:t>
      </w:r>
    </w:p>
    <w:p w14:paraId="1CE83EFE" w14:textId="19C4B5C5" w:rsidR="003100C8" w:rsidRPr="00B94C91" w:rsidRDefault="003100C8" w:rsidP="001E1363">
      <w:pPr>
        <w:pStyle w:val="NoSpacing"/>
        <w:rPr>
          <w:rFonts w:asciiTheme="minorHAnsi" w:hAnsiTheme="minorHAnsi"/>
          <w:bCs/>
          <w:sz w:val="20"/>
        </w:rPr>
      </w:pPr>
    </w:p>
    <w:p w14:paraId="55D48667" w14:textId="401E1A95" w:rsidR="003100C8" w:rsidRPr="00B94C91" w:rsidRDefault="003100C8" w:rsidP="001E1363">
      <w:pPr>
        <w:pStyle w:val="NoSpacing"/>
        <w:rPr>
          <w:rFonts w:asciiTheme="minorHAnsi" w:eastAsiaTheme="minorHAnsi" w:hAnsiTheme="minorHAnsi" w:cstheme="minorBidi"/>
          <w:bCs/>
          <w:sz w:val="20"/>
        </w:rPr>
      </w:pPr>
      <w:r w:rsidRPr="00B94C91">
        <w:rPr>
          <w:rFonts w:asciiTheme="minorHAnsi" w:eastAsiaTheme="minorHAnsi" w:hAnsiTheme="minorHAnsi" w:cstheme="minorBidi"/>
          <w:b/>
          <w:sz w:val="20"/>
        </w:rPr>
        <w:t>Garfield Weston Foundation</w:t>
      </w:r>
      <w:r w:rsidRPr="00B94C91">
        <w:rPr>
          <w:rFonts w:asciiTheme="minorHAnsi" w:eastAsiaTheme="minorHAnsi" w:hAnsiTheme="minorHAnsi" w:cstheme="minorBidi"/>
          <w:bCs/>
          <w:sz w:val="20"/>
        </w:rPr>
        <w:t xml:space="preserve"> - Established over 60 years ago in 1958, the Garfield Weston Foundation is a family-founded, grant-making charity which supports causes across the UK with grants around £70million annually. It has donated over £1billion to charities since it was established. One of the most respected charitable institutions in the UK, the Weston Family Trustees are descendants of the founder and they take a highly active and hands-on approach. The Foundation’s funding comes from an endowment of shares in the family business which includes </w:t>
      </w:r>
      <w:proofErr w:type="spellStart"/>
      <w:r w:rsidRPr="00B94C91">
        <w:rPr>
          <w:rFonts w:asciiTheme="minorHAnsi" w:eastAsiaTheme="minorHAnsi" w:hAnsiTheme="minorHAnsi" w:cstheme="minorBidi"/>
          <w:bCs/>
          <w:sz w:val="20"/>
        </w:rPr>
        <w:t>Twinings</w:t>
      </w:r>
      <w:proofErr w:type="spellEnd"/>
      <w:r w:rsidRPr="00B94C91">
        <w:rPr>
          <w:rFonts w:asciiTheme="minorHAnsi" w:eastAsiaTheme="minorHAnsi" w:hAnsiTheme="minorHAnsi" w:cstheme="minorBidi"/>
          <w:bCs/>
          <w:sz w:val="20"/>
        </w:rPr>
        <w:t xml:space="preserve">, Primark, Kingsmill (all part of Associated British Foods Plc) and Fortnum &amp; Mason, amongst others – a successful model that still endures today; as the businesses have grown so too have the charitable donations. From small community organisations to large national institutions, the Foundation supports a broad range of charities and activities that make a positive impact in the communities in which they work. More than 1,800 charities across the UK benefit each year from the Foundation’s grants. </w:t>
      </w:r>
    </w:p>
    <w:p w14:paraId="5B708FDC" w14:textId="77777777" w:rsidR="00B214F2" w:rsidRPr="00B94C91" w:rsidRDefault="00B214F2" w:rsidP="001E1363">
      <w:pPr>
        <w:pStyle w:val="NoSpacing"/>
        <w:rPr>
          <w:rFonts w:asciiTheme="minorHAnsi" w:eastAsiaTheme="minorHAnsi" w:hAnsiTheme="minorHAnsi" w:cstheme="minorBidi"/>
          <w:bCs/>
          <w:sz w:val="20"/>
        </w:rPr>
      </w:pPr>
    </w:p>
    <w:p w14:paraId="73D2AC92" w14:textId="6FD75D48" w:rsidR="003100C8" w:rsidRPr="00B94C91" w:rsidRDefault="003100C8" w:rsidP="001E1363">
      <w:pPr>
        <w:pStyle w:val="NoSpacing"/>
        <w:rPr>
          <w:rFonts w:asciiTheme="minorHAnsi" w:eastAsiaTheme="minorHAnsi" w:hAnsiTheme="minorHAnsi" w:cstheme="minorBidi"/>
          <w:bCs/>
          <w:sz w:val="20"/>
        </w:rPr>
      </w:pPr>
      <w:r w:rsidRPr="00B94C91">
        <w:rPr>
          <w:rFonts w:asciiTheme="minorHAnsi" w:eastAsiaTheme="minorHAnsi" w:hAnsiTheme="minorHAnsi" w:cstheme="minorBidi"/>
          <w:b/>
          <w:sz w:val="20"/>
        </w:rPr>
        <w:t>Art Fund</w:t>
      </w:r>
      <w:r w:rsidRPr="00B94C91">
        <w:rPr>
          <w:rFonts w:asciiTheme="minorHAnsi" w:eastAsiaTheme="minorHAnsi" w:hAnsiTheme="minorHAnsi" w:cstheme="minorBidi"/>
          <w:bCs/>
          <w:sz w:val="20"/>
        </w:rPr>
        <w:t xml:space="preserve"> is the national fundraising charity for art. In the past five years alone Art Fund has given £34 million to help museums and galleries acquire works of art for their collections. It also helps museums share their collections with wider audiences by supporting a range of tours and exhibitions, and makes additional grants to support the training and professional development of curators. Art Fund is independently funded, with the core of its income provided by 139,000 members who receive the National Art Pass and enjoy free entry to over 240 museums, galleries and historic places across the UK, as well as 50% off entry to major exhibitions and subscription to Art Quarterly magazine. In addition to grant-giving, Art Fund’s support for museums includes </w:t>
      </w:r>
      <w:r w:rsidR="00B94C91" w:rsidRPr="00B94C91">
        <w:rPr>
          <w:rFonts w:asciiTheme="minorHAnsi" w:eastAsiaTheme="minorHAnsi" w:hAnsiTheme="minorHAnsi" w:cstheme="minorBidi"/>
          <w:bCs/>
          <w:sz w:val="20"/>
        </w:rPr>
        <w:t xml:space="preserve">Art Fund Museum of the Year (won by St </w:t>
      </w:r>
      <w:proofErr w:type="spellStart"/>
      <w:r w:rsidR="00B94C91" w:rsidRPr="00B94C91">
        <w:rPr>
          <w:rFonts w:asciiTheme="minorHAnsi" w:eastAsiaTheme="minorHAnsi" w:hAnsiTheme="minorHAnsi" w:cstheme="minorBidi"/>
          <w:bCs/>
          <w:sz w:val="20"/>
        </w:rPr>
        <w:t>Fagans</w:t>
      </w:r>
      <w:proofErr w:type="spellEnd"/>
      <w:r w:rsidR="00B94C91" w:rsidRPr="00B94C91">
        <w:rPr>
          <w:rFonts w:asciiTheme="minorHAnsi" w:eastAsiaTheme="minorHAnsi" w:hAnsiTheme="minorHAnsi" w:cstheme="minorBidi"/>
          <w:bCs/>
          <w:sz w:val="20"/>
        </w:rPr>
        <w:t xml:space="preserve"> National History Museum near Cardiff in 2019) </w:t>
      </w:r>
      <w:r w:rsidRPr="00B94C91">
        <w:rPr>
          <w:rFonts w:asciiTheme="minorHAnsi" w:eastAsiaTheme="minorHAnsi" w:hAnsiTheme="minorHAnsi" w:cstheme="minorBidi"/>
          <w:bCs/>
          <w:sz w:val="20"/>
        </w:rPr>
        <w:t>and a range of digital platforms. Find out more about Art Fund and the National Art Pass at www.artfund.org</w:t>
      </w:r>
    </w:p>
    <w:p w14:paraId="31185C10" w14:textId="57322B90" w:rsidR="00D67D6C" w:rsidRPr="005D2AB3" w:rsidRDefault="00EE4985" w:rsidP="00B4601F">
      <w:pPr>
        <w:spacing w:after="0"/>
        <w:rPr>
          <w:rFonts w:ascii="Calibri" w:hAnsi="Calibri" w:cs="Calibri"/>
          <w:color w:val="FF0000"/>
          <w:szCs w:val="24"/>
        </w:rPr>
      </w:pPr>
      <w:r>
        <w:rPr>
          <w:rFonts w:cs="Arial"/>
          <w:color w:val="000000" w:themeColor="text1"/>
          <w:sz w:val="20"/>
          <w:szCs w:val="20"/>
        </w:rPr>
        <w:t xml:space="preserve"> </w:t>
      </w:r>
    </w:p>
    <w:p w14:paraId="73D42752" w14:textId="304160FA" w:rsidR="007441B4" w:rsidRPr="005D2AB3" w:rsidRDefault="00B4601F" w:rsidP="00B4601F">
      <w:pPr>
        <w:pStyle w:val="NoSpacing"/>
        <w:rPr>
          <w:rFonts w:asciiTheme="minorHAnsi" w:hAnsiTheme="minorHAnsi"/>
          <w:b/>
          <w:sz w:val="22"/>
          <w:szCs w:val="22"/>
          <w:u w:val="single"/>
        </w:rPr>
      </w:pPr>
      <w:r w:rsidRPr="009E715D">
        <w:rPr>
          <w:rFonts w:asciiTheme="minorHAnsi" w:hAnsiTheme="minorHAnsi"/>
          <w:b/>
          <w:sz w:val="22"/>
          <w:szCs w:val="22"/>
          <w:u w:val="single"/>
        </w:rPr>
        <w:t>IMAGES</w:t>
      </w:r>
    </w:p>
    <w:p w14:paraId="5FD5432C" w14:textId="73CCD42B" w:rsidR="007441B4" w:rsidRDefault="00D465E4" w:rsidP="00B4601F">
      <w:pPr>
        <w:pStyle w:val="NoSpacing"/>
        <w:rPr>
          <w:rFonts w:asciiTheme="minorHAnsi" w:hAnsiTheme="minorHAnsi"/>
          <w:color w:val="FF0000"/>
          <w:sz w:val="22"/>
          <w:szCs w:val="22"/>
        </w:rPr>
      </w:pPr>
      <w:hyperlink r:id="rId13" w:history="1">
        <w:r w:rsidR="00E051AC" w:rsidRPr="00E051AC">
          <w:rPr>
            <w:rStyle w:val="Hyperlink"/>
            <w:rFonts w:asciiTheme="minorHAnsi" w:hAnsiTheme="minorHAnsi"/>
            <w:sz w:val="22"/>
            <w:szCs w:val="22"/>
          </w:rPr>
          <w:t>A selection of high-resolution</w:t>
        </w:r>
        <w:r w:rsidR="007441B4" w:rsidRPr="00E051AC">
          <w:rPr>
            <w:rStyle w:val="Hyperlink"/>
            <w:rFonts w:asciiTheme="minorHAnsi" w:hAnsiTheme="minorHAnsi"/>
            <w:sz w:val="22"/>
            <w:szCs w:val="22"/>
          </w:rPr>
          <w:t xml:space="preserve"> images </w:t>
        </w:r>
        <w:r w:rsidR="00E051AC" w:rsidRPr="00E051AC">
          <w:rPr>
            <w:rStyle w:val="Hyperlink"/>
            <w:rFonts w:asciiTheme="minorHAnsi" w:hAnsiTheme="minorHAnsi"/>
            <w:sz w:val="22"/>
            <w:szCs w:val="22"/>
          </w:rPr>
          <w:t xml:space="preserve">for media use </w:t>
        </w:r>
        <w:r w:rsidR="007441B4" w:rsidRPr="00E051AC">
          <w:rPr>
            <w:rStyle w:val="Hyperlink"/>
            <w:rFonts w:asciiTheme="minorHAnsi" w:hAnsiTheme="minorHAnsi"/>
            <w:sz w:val="22"/>
            <w:szCs w:val="22"/>
          </w:rPr>
          <w:t>can be d</w:t>
        </w:r>
        <w:r w:rsidR="00EE4985" w:rsidRPr="00E051AC">
          <w:rPr>
            <w:rStyle w:val="Hyperlink"/>
            <w:rFonts w:asciiTheme="minorHAnsi" w:hAnsiTheme="minorHAnsi"/>
            <w:sz w:val="22"/>
            <w:szCs w:val="22"/>
          </w:rPr>
          <w:t>ownloaded</w:t>
        </w:r>
        <w:r w:rsidR="00E051AC" w:rsidRPr="00E051AC">
          <w:rPr>
            <w:rStyle w:val="Hyperlink"/>
            <w:rFonts w:asciiTheme="minorHAnsi" w:hAnsiTheme="minorHAnsi"/>
            <w:sz w:val="22"/>
            <w:szCs w:val="22"/>
          </w:rPr>
          <w:t xml:space="preserve"> here</w:t>
        </w:r>
        <w:r w:rsidR="00EE4985" w:rsidRPr="00E051AC">
          <w:rPr>
            <w:rStyle w:val="Hyperlink"/>
            <w:rFonts w:asciiTheme="minorHAnsi" w:hAnsiTheme="minorHAnsi"/>
            <w:sz w:val="22"/>
            <w:szCs w:val="22"/>
          </w:rPr>
          <w:t xml:space="preserve"> </w:t>
        </w:r>
      </w:hyperlink>
      <w:r w:rsidR="00E051AC">
        <w:rPr>
          <w:rFonts w:asciiTheme="minorHAnsi" w:hAnsiTheme="minorHAnsi"/>
          <w:color w:val="FF0000"/>
          <w:sz w:val="22"/>
          <w:szCs w:val="22"/>
        </w:rPr>
        <w:t xml:space="preserve"> </w:t>
      </w:r>
    </w:p>
    <w:p w14:paraId="13F47394" w14:textId="1CE255D5" w:rsidR="008F0CC7" w:rsidRPr="008F0CC7" w:rsidRDefault="008F0CC7" w:rsidP="00B4601F">
      <w:pPr>
        <w:pStyle w:val="NoSpacing"/>
        <w:rPr>
          <w:rFonts w:asciiTheme="minorHAnsi" w:hAnsiTheme="minorHAnsi" w:cstheme="minorHAnsi"/>
          <w:bCs/>
          <w:sz w:val="20"/>
        </w:rPr>
      </w:pPr>
      <w:proofErr w:type="spellStart"/>
      <w:r w:rsidRPr="008F0CC7">
        <w:rPr>
          <w:rFonts w:asciiTheme="minorHAnsi" w:hAnsiTheme="minorHAnsi" w:cstheme="minorHAnsi"/>
          <w:bCs/>
          <w:i/>
          <w:iCs/>
          <w:sz w:val="20"/>
        </w:rPr>
        <w:t>Laus</w:t>
      </w:r>
      <w:proofErr w:type="spellEnd"/>
      <w:r w:rsidRPr="008F0CC7">
        <w:rPr>
          <w:rFonts w:asciiTheme="minorHAnsi" w:hAnsiTheme="minorHAnsi" w:cstheme="minorHAnsi"/>
          <w:bCs/>
          <w:i/>
          <w:iCs/>
          <w:sz w:val="20"/>
        </w:rPr>
        <w:t xml:space="preserve"> Veneris</w:t>
      </w:r>
      <w:r w:rsidRPr="008F0CC7">
        <w:rPr>
          <w:rFonts w:asciiTheme="minorHAnsi" w:hAnsiTheme="minorHAnsi" w:cstheme="minorHAnsi"/>
          <w:bCs/>
          <w:sz w:val="20"/>
        </w:rPr>
        <w:t xml:space="preserve">, 1873-1875 by Edward </w:t>
      </w:r>
      <w:proofErr w:type="spellStart"/>
      <w:r w:rsidRPr="008F0CC7">
        <w:rPr>
          <w:rFonts w:asciiTheme="minorHAnsi" w:hAnsiTheme="minorHAnsi" w:cstheme="minorHAnsi"/>
          <w:bCs/>
          <w:sz w:val="20"/>
        </w:rPr>
        <w:t>Burne</w:t>
      </w:r>
      <w:proofErr w:type="spellEnd"/>
      <w:r w:rsidRPr="008F0CC7">
        <w:rPr>
          <w:rFonts w:asciiTheme="minorHAnsi" w:hAnsiTheme="minorHAnsi" w:cstheme="minorHAnsi"/>
          <w:bCs/>
          <w:sz w:val="20"/>
        </w:rPr>
        <w:t xml:space="preserve"> Jones © Laing Art Gallery</w:t>
      </w:r>
    </w:p>
    <w:p w14:paraId="320390DD" w14:textId="71057A83" w:rsidR="008F0CC7" w:rsidRPr="006134FF" w:rsidRDefault="008F0CC7" w:rsidP="006134FF">
      <w:pPr>
        <w:pStyle w:val="NoSpacing"/>
        <w:rPr>
          <w:rFonts w:asciiTheme="minorHAnsi" w:hAnsiTheme="minorHAnsi" w:cstheme="minorHAnsi"/>
          <w:sz w:val="20"/>
        </w:rPr>
      </w:pPr>
      <w:r w:rsidRPr="006134FF">
        <w:rPr>
          <w:rFonts w:asciiTheme="minorHAnsi" w:hAnsiTheme="minorHAnsi" w:cstheme="minorHAnsi"/>
          <w:sz w:val="20"/>
        </w:rPr>
        <w:t xml:space="preserve">Fiona Tan, </w:t>
      </w:r>
      <w:proofErr w:type="spellStart"/>
      <w:r w:rsidRPr="006134FF">
        <w:rPr>
          <w:rFonts w:asciiTheme="minorHAnsi" w:hAnsiTheme="minorHAnsi" w:cstheme="minorHAnsi"/>
          <w:i/>
          <w:iCs/>
          <w:sz w:val="20"/>
        </w:rPr>
        <w:t>Nele</w:t>
      </w:r>
      <w:proofErr w:type="spellEnd"/>
      <w:r w:rsidRPr="006134FF">
        <w:rPr>
          <w:rFonts w:asciiTheme="minorHAnsi" w:hAnsiTheme="minorHAnsi" w:cstheme="minorHAnsi"/>
          <w:i/>
          <w:iCs/>
          <w:sz w:val="20"/>
        </w:rPr>
        <w:t>/Nellie</w:t>
      </w:r>
      <w:r w:rsidRPr="006134FF">
        <w:rPr>
          <w:rFonts w:asciiTheme="minorHAnsi" w:hAnsiTheme="minorHAnsi" w:cstheme="minorHAnsi"/>
          <w:sz w:val="20"/>
        </w:rPr>
        <w:t xml:space="preserve"> 2013, courtesy the artist and Frith Street Gallery, London</w:t>
      </w:r>
    </w:p>
    <w:p w14:paraId="7A39D7B1" w14:textId="5A45F2F2" w:rsidR="008F0CC7" w:rsidRPr="006134FF" w:rsidRDefault="008F0CC7" w:rsidP="006134FF">
      <w:pPr>
        <w:pStyle w:val="NoSpacing"/>
        <w:rPr>
          <w:rFonts w:asciiTheme="minorHAnsi" w:hAnsiTheme="minorHAnsi" w:cstheme="minorHAnsi"/>
          <w:sz w:val="20"/>
        </w:rPr>
      </w:pPr>
      <w:r w:rsidRPr="006134FF">
        <w:rPr>
          <w:rFonts w:asciiTheme="minorHAnsi" w:hAnsiTheme="minorHAnsi" w:cstheme="minorHAnsi"/>
          <w:i/>
          <w:iCs/>
          <w:sz w:val="20"/>
        </w:rPr>
        <w:t>Hhareem Life, Constantinople,</w:t>
      </w:r>
      <w:r w:rsidRPr="006134FF">
        <w:rPr>
          <w:rFonts w:asciiTheme="minorHAnsi" w:hAnsiTheme="minorHAnsi" w:cstheme="minorHAnsi"/>
          <w:sz w:val="20"/>
        </w:rPr>
        <w:t xml:space="preserve"> 1857 by J.F. Lewis © Laing Art Gallery</w:t>
      </w:r>
    </w:p>
    <w:p w14:paraId="48860A3A" w14:textId="071C1C12" w:rsidR="008F0CC7" w:rsidRPr="006134FF" w:rsidRDefault="008F0CC7" w:rsidP="006134FF">
      <w:pPr>
        <w:pStyle w:val="NoSpacing"/>
        <w:rPr>
          <w:rFonts w:asciiTheme="minorHAnsi" w:hAnsiTheme="minorHAnsi" w:cstheme="minorHAnsi"/>
          <w:sz w:val="20"/>
        </w:rPr>
      </w:pPr>
      <w:r w:rsidRPr="006134FF">
        <w:rPr>
          <w:rFonts w:asciiTheme="minorHAnsi" w:hAnsiTheme="minorHAnsi" w:cstheme="minorHAnsi"/>
          <w:i/>
          <w:iCs/>
          <w:sz w:val="20"/>
        </w:rPr>
        <w:t xml:space="preserve">The Lady of </w:t>
      </w:r>
      <w:proofErr w:type="spellStart"/>
      <w:r w:rsidRPr="006134FF">
        <w:rPr>
          <w:rFonts w:asciiTheme="minorHAnsi" w:hAnsiTheme="minorHAnsi" w:cstheme="minorHAnsi"/>
          <w:i/>
          <w:iCs/>
          <w:sz w:val="20"/>
        </w:rPr>
        <w:t>Shalott</w:t>
      </w:r>
      <w:proofErr w:type="spellEnd"/>
      <w:r w:rsidRPr="006134FF">
        <w:rPr>
          <w:rFonts w:asciiTheme="minorHAnsi" w:hAnsiTheme="minorHAnsi" w:cstheme="minorHAnsi"/>
          <w:i/>
          <w:iCs/>
          <w:sz w:val="20"/>
        </w:rPr>
        <w:t>,</w:t>
      </w:r>
      <w:r w:rsidRPr="006134FF">
        <w:rPr>
          <w:rFonts w:asciiTheme="minorHAnsi" w:hAnsiTheme="minorHAnsi" w:cstheme="minorHAnsi"/>
          <w:sz w:val="20"/>
        </w:rPr>
        <w:t xml:space="preserve"> JW Waterhouse © Falmouth Art Gallery Collection</w:t>
      </w:r>
    </w:p>
    <w:p w14:paraId="0A825E78" w14:textId="32F15483" w:rsidR="008F0CC7" w:rsidRPr="006134FF" w:rsidRDefault="008F0CC7" w:rsidP="006134FF">
      <w:pPr>
        <w:pStyle w:val="NoSpacing"/>
        <w:rPr>
          <w:rFonts w:asciiTheme="minorHAnsi" w:hAnsiTheme="minorHAnsi" w:cstheme="minorHAnsi"/>
          <w:sz w:val="20"/>
        </w:rPr>
      </w:pPr>
      <w:r w:rsidRPr="006134FF">
        <w:rPr>
          <w:rFonts w:asciiTheme="minorHAnsi" w:hAnsiTheme="minorHAnsi" w:cstheme="minorHAnsi"/>
          <w:i/>
          <w:iCs/>
          <w:sz w:val="20"/>
        </w:rPr>
        <w:t>Lamia</w:t>
      </w:r>
      <w:r w:rsidRPr="006134FF">
        <w:rPr>
          <w:rFonts w:asciiTheme="minorHAnsi" w:hAnsiTheme="minorHAnsi" w:cstheme="minorHAnsi"/>
          <w:sz w:val="20"/>
        </w:rPr>
        <w:t xml:space="preserve">, 1899-1900 by Sir George Frampton RA © Royal Academy of Arts, London; photographer: Paul </w:t>
      </w:r>
      <w:proofErr w:type="spellStart"/>
      <w:r w:rsidRPr="006134FF">
        <w:rPr>
          <w:rFonts w:asciiTheme="minorHAnsi" w:hAnsiTheme="minorHAnsi" w:cstheme="minorHAnsi"/>
          <w:sz w:val="20"/>
        </w:rPr>
        <w:t>Highnam</w:t>
      </w:r>
      <w:proofErr w:type="spellEnd"/>
    </w:p>
    <w:p w14:paraId="4E47C0FF" w14:textId="3F7A962E" w:rsidR="00E5137B" w:rsidRPr="006134FF" w:rsidRDefault="00E5137B" w:rsidP="00E5137B">
      <w:pPr>
        <w:pStyle w:val="NoSpacing"/>
        <w:rPr>
          <w:rFonts w:asciiTheme="minorHAnsi" w:hAnsiTheme="minorHAnsi" w:cstheme="minorHAnsi"/>
          <w:sz w:val="20"/>
        </w:rPr>
      </w:pPr>
      <w:r w:rsidRPr="00D465E4">
        <w:rPr>
          <w:rFonts w:asciiTheme="minorHAnsi" w:hAnsiTheme="minorHAnsi" w:cstheme="minorHAnsi"/>
          <w:i/>
          <w:sz w:val="20"/>
        </w:rPr>
        <w:t>From</w:t>
      </w:r>
      <w:r w:rsidR="00A46665" w:rsidRPr="00D465E4">
        <w:rPr>
          <w:rFonts w:asciiTheme="minorHAnsi" w:hAnsiTheme="minorHAnsi" w:cstheme="minorHAnsi"/>
          <w:i/>
          <w:sz w:val="20"/>
        </w:rPr>
        <w:t xml:space="preserve"> Angel Series</w:t>
      </w:r>
      <w:r w:rsidRPr="006134FF">
        <w:rPr>
          <w:rFonts w:asciiTheme="minorHAnsi" w:hAnsiTheme="minorHAnsi" w:cstheme="minorHAnsi"/>
          <w:sz w:val="20"/>
        </w:rPr>
        <w:t>, 1977 by Francesca Woodman © Estate of Francesca Woodman/Charles Woodman / Artists Rights Society (ARS), New York and DACS, London 2019</w:t>
      </w:r>
    </w:p>
    <w:p w14:paraId="42AC30E7" w14:textId="03537BEE" w:rsidR="008F0CC7" w:rsidRPr="006134FF" w:rsidRDefault="008F0CC7" w:rsidP="006134FF">
      <w:pPr>
        <w:pStyle w:val="NoSpacing"/>
        <w:rPr>
          <w:rFonts w:asciiTheme="minorHAnsi" w:hAnsiTheme="minorHAnsi" w:cstheme="minorHAnsi"/>
          <w:sz w:val="20"/>
        </w:rPr>
      </w:pPr>
      <w:r w:rsidRPr="006134FF">
        <w:rPr>
          <w:rFonts w:asciiTheme="minorHAnsi" w:hAnsiTheme="minorHAnsi" w:cstheme="minorHAnsi"/>
          <w:sz w:val="20"/>
        </w:rPr>
        <w:t xml:space="preserve">Mona </w:t>
      </w:r>
      <w:proofErr w:type="spellStart"/>
      <w:r w:rsidRPr="006134FF">
        <w:rPr>
          <w:rFonts w:asciiTheme="minorHAnsi" w:hAnsiTheme="minorHAnsi" w:cstheme="minorHAnsi"/>
          <w:sz w:val="20"/>
        </w:rPr>
        <w:t>Hato</w:t>
      </w:r>
      <w:bookmarkStart w:id="2" w:name="_GoBack"/>
      <w:bookmarkEnd w:id="2"/>
      <w:r w:rsidRPr="006134FF">
        <w:rPr>
          <w:rFonts w:asciiTheme="minorHAnsi" w:hAnsiTheme="minorHAnsi" w:cstheme="minorHAnsi"/>
          <w:sz w:val="20"/>
        </w:rPr>
        <w:t>um</w:t>
      </w:r>
      <w:proofErr w:type="spellEnd"/>
      <w:r w:rsidRPr="006134FF">
        <w:rPr>
          <w:rFonts w:asciiTheme="minorHAnsi" w:hAnsiTheme="minorHAnsi" w:cstheme="minorHAnsi"/>
          <w:sz w:val="20"/>
        </w:rPr>
        <w:t xml:space="preserve">, </w:t>
      </w:r>
      <w:r w:rsidRPr="006134FF">
        <w:rPr>
          <w:rFonts w:asciiTheme="minorHAnsi" w:hAnsiTheme="minorHAnsi" w:cstheme="minorHAnsi"/>
          <w:i/>
          <w:iCs/>
          <w:sz w:val="20"/>
        </w:rPr>
        <w:t>Home</w:t>
      </w:r>
      <w:r w:rsidRPr="006134FF">
        <w:rPr>
          <w:rFonts w:asciiTheme="minorHAnsi" w:hAnsiTheme="minorHAnsi" w:cstheme="minorHAnsi"/>
          <w:sz w:val="20"/>
        </w:rPr>
        <w:t xml:space="preserve">, 1999 © Mona </w:t>
      </w:r>
      <w:proofErr w:type="spellStart"/>
      <w:r w:rsidRPr="006134FF">
        <w:rPr>
          <w:rFonts w:asciiTheme="minorHAnsi" w:hAnsiTheme="minorHAnsi" w:cstheme="minorHAnsi"/>
          <w:sz w:val="20"/>
        </w:rPr>
        <w:t>Hatoum</w:t>
      </w:r>
      <w:proofErr w:type="spellEnd"/>
      <w:r w:rsidRPr="006134FF">
        <w:rPr>
          <w:rFonts w:asciiTheme="minorHAnsi" w:hAnsiTheme="minorHAnsi" w:cstheme="minorHAnsi"/>
          <w:sz w:val="20"/>
        </w:rPr>
        <w:t xml:space="preserve">. Courtesy Alexander and Bonin, New York (Photo: </w:t>
      </w:r>
      <w:proofErr w:type="spellStart"/>
      <w:r w:rsidRPr="006134FF">
        <w:rPr>
          <w:rFonts w:asciiTheme="minorHAnsi" w:hAnsiTheme="minorHAnsi" w:cstheme="minorHAnsi"/>
          <w:sz w:val="20"/>
        </w:rPr>
        <w:t>Orcutt</w:t>
      </w:r>
      <w:proofErr w:type="spellEnd"/>
      <w:r w:rsidRPr="006134FF">
        <w:rPr>
          <w:rFonts w:asciiTheme="minorHAnsi" w:hAnsiTheme="minorHAnsi" w:cstheme="minorHAnsi"/>
          <w:sz w:val="20"/>
        </w:rPr>
        <w:t xml:space="preserve"> &amp; Van Der </w:t>
      </w:r>
      <w:proofErr w:type="spellStart"/>
      <w:r w:rsidRPr="006134FF">
        <w:rPr>
          <w:rFonts w:asciiTheme="minorHAnsi" w:hAnsiTheme="minorHAnsi" w:cstheme="minorHAnsi"/>
          <w:sz w:val="20"/>
        </w:rPr>
        <w:t>Putten</w:t>
      </w:r>
      <w:proofErr w:type="spellEnd"/>
      <w:r w:rsidRPr="006134FF">
        <w:rPr>
          <w:rFonts w:asciiTheme="minorHAnsi" w:hAnsiTheme="minorHAnsi" w:cstheme="minorHAnsi"/>
          <w:sz w:val="20"/>
        </w:rPr>
        <w:t>)</w:t>
      </w:r>
    </w:p>
    <w:p w14:paraId="0AD283E0" w14:textId="77777777" w:rsidR="00B4601F" w:rsidRPr="001E6C16" w:rsidRDefault="00B4601F" w:rsidP="00B4601F">
      <w:pPr>
        <w:pStyle w:val="NoSpacing"/>
        <w:rPr>
          <w:rFonts w:asciiTheme="minorHAnsi" w:hAnsiTheme="minorHAnsi" w:cs="Arial"/>
          <w:sz w:val="20"/>
        </w:rPr>
      </w:pPr>
    </w:p>
    <w:p w14:paraId="4919D149" w14:textId="77777777" w:rsidR="00B4601F" w:rsidRPr="003B6F4E" w:rsidRDefault="00B4601F" w:rsidP="00B4601F">
      <w:pPr>
        <w:spacing w:after="0" w:line="276" w:lineRule="auto"/>
        <w:rPr>
          <w:rFonts w:ascii="Calibri" w:eastAsia="Times New Roman" w:hAnsi="Calibri" w:cs="Calibri"/>
          <w:color w:val="000000"/>
          <w:lang w:eastAsia="en-GB"/>
        </w:rPr>
      </w:pPr>
      <w:r w:rsidRPr="003B6F4E">
        <w:rPr>
          <w:rFonts w:ascii="Calibri" w:eastAsia="Times New Roman" w:hAnsi="Calibri" w:cs="Calibri"/>
          <w:b/>
          <w:color w:val="000000"/>
          <w:u w:val="single"/>
          <w:lang w:eastAsia="en-GB"/>
        </w:rPr>
        <w:t>FOR MORE INFORMATION, INTERVIEWS &amp; IMAGES</w:t>
      </w:r>
    </w:p>
    <w:p w14:paraId="1316AA45" w14:textId="646921C5" w:rsidR="00B4601F" w:rsidRDefault="00B4601F" w:rsidP="00B4601F">
      <w:pPr>
        <w:spacing w:after="0" w:line="240" w:lineRule="auto"/>
      </w:pPr>
      <w:r w:rsidRPr="003B6F4E">
        <w:rPr>
          <w:rFonts w:eastAsia="Times New Roman" w:cstheme="minorHAnsi"/>
        </w:rPr>
        <w:t xml:space="preserve">Please contact </w:t>
      </w:r>
      <w:r w:rsidR="005D2AB3">
        <w:rPr>
          <w:rFonts w:eastAsia="Times New Roman" w:cstheme="minorHAnsi"/>
        </w:rPr>
        <w:t xml:space="preserve">Tracy Jones at </w:t>
      </w:r>
      <w:r w:rsidRPr="003B6F4E">
        <w:rPr>
          <w:rFonts w:eastAsia="Times New Roman" w:cstheme="minorHAnsi"/>
        </w:rPr>
        <w:t>Brera PR –</w:t>
      </w:r>
      <w:r w:rsidR="00EE4985">
        <w:t xml:space="preserve"> </w:t>
      </w:r>
      <w:r w:rsidRPr="003B6F4E">
        <w:rPr>
          <w:rFonts w:eastAsia="Times New Roman" w:cstheme="minorHAnsi"/>
        </w:rPr>
        <w:t xml:space="preserve">tracy@brera-london.com / </w:t>
      </w:r>
      <w:r w:rsidR="00EE4985">
        <w:rPr>
          <w:rFonts w:eastAsia="Times New Roman" w:cstheme="minorHAnsi"/>
        </w:rPr>
        <w:t xml:space="preserve">01702 216658 / </w:t>
      </w:r>
      <w:r w:rsidRPr="003B6F4E">
        <w:rPr>
          <w:rFonts w:eastAsia="Times New Roman" w:cstheme="minorHAnsi"/>
        </w:rPr>
        <w:t xml:space="preserve">07887 514984 </w:t>
      </w:r>
      <w:r w:rsidR="00EE4985">
        <w:rPr>
          <w:rFonts w:eastAsia="Times New Roman" w:cstheme="minorHAnsi"/>
        </w:rPr>
        <w:t xml:space="preserve">/ </w:t>
      </w:r>
      <w:hyperlink r:id="rId14" w:history="1">
        <w:r w:rsidR="00EE4985" w:rsidRPr="00F51EDA">
          <w:rPr>
            <w:rStyle w:val="Hyperlink"/>
            <w:rFonts w:eastAsia="Times New Roman" w:cstheme="minorHAnsi"/>
          </w:rPr>
          <w:t>www.brera-london.com</w:t>
        </w:r>
      </w:hyperlink>
      <w:r w:rsidR="00EE4985">
        <w:rPr>
          <w:rFonts w:eastAsia="Times New Roman" w:cstheme="minorHAnsi"/>
        </w:rPr>
        <w:t xml:space="preserve">  </w:t>
      </w:r>
    </w:p>
    <w:p w14:paraId="7BD421AC" w14:textId="462C8623" w:rsidR="00AA0B3B" w:rsidRDefault="00AA0B3B">
      <w:pPr>
        <w:rPr>
          <w:sz w:val="24"/>
          <w:szCs w:val="24"/>
        </w:rPr>
      </w:pPr>
    </w:p>
    <w:p w14:paraId="4AB1393D" w14:textId="77777777" w:rsidR="00472E86" w:rsidRPr="00472E86" w:rsidRDefault="00472E86" w:rsidP="00472E86">
      <w:pPr>
        <w:spacing w:after="0" w:line="240" w:lineRule="auto"/>
        <w:rPr>
          <w:rFonts w:ascii="Times New Roman" w:hAnsi="Times New Roman" w:cs="Times New Roman"/>
          <w:sz w:val="24"/>
          <w:szCs w:val="24"/>
          <w:lang w:eastAsia="en-GB"/>
        </w:rPr>
      </w:pPr>
    </w:p>
    <w:p w14:paraId="0BEDB553" w14:textId="13CD77E2" w:rsidR="00472E86" w:rsidRPr="00472E86" w:rsidRDefault="00472E86" w:rsidP="00472E86">
      <w:pPr>
        <w:spacing w:after="0" w:line="240" w:lineRule="auto"/>
        <w:rPr>
          <w:rFonts w:ascii="Times New Roman" w:hAnsi="Times New Roman" w:cs="Times New Roman"/>
          <w:sz w:val="24"/>
          <w:szCs w:val="24"/>
          <w:lang w:eastAsia="en-GB"/>
        </w:rPr>
      </w:pPr>
    </w:p>
    <w:p w14:paraId="3951F4AA" w14:textId="1C34936A" w:rsidR="00472E86" w:rsidRPr="00472E86" w:rsidRDefault="00472E86" w:rsidP="00472E86">
      <w:pPr>
        <w:spacing w:after="0" w:line="240" w:lineRule="auto"/>
        <w:rPr>
          <w:rFonts w:ascii="Times New Roman" w:hAnsi="Times New Roman" w:cs="Times New Roman"/>
          <w:sz w:val="24"/>
          <w:szCs w:val="24"/>
          <w:lang w:eastAsia="en-GB"/>
        </w:rPr>
      </w:pPr>
    </w:p>
    <w:p w14:paraId="1823EA7D" w14:textId="2DECB7D4" w:rsidR="00472E86" w:rsidRPr="00472E86" w:rsidRDefault="00472E86" w:rsidP="00472E86">
      <w:pPr>
        <w:spacing w:after="0" w:line="240" w:lineRule="auto"/>
        <w:rPr>
          <w:rFonts w:ascii="Times New Roman" w:hAnsi="Times New Roman" w:cs="Times New Roman"/>
          <w:sz w:val="24"/>
          <w:szCs w:val="24"/>
          <w:lang w:eastAsia="en-GB"/>
        </w:rPr>
      </w:pPr>
    </w:p>
    <w:p w14:paraId="5BDE0BDD" w14:textId="1661A966" w:rsidR="00186BAB" w:rsidRPr="00AA0B3B" w:rsidRDefault="00C55142">
      <w:pPr>
        <w:rPr>
          <w:sz w:val="24"/>
          <w:szCs w:val="24"/>
        </w:rPr>
      </w:pPr>
      <w:r>
        <w:rPr>
          <w:noProof/>
          <w:lang w:eastAsia="en-GB"/>
        </w:rPr>
        <w:lastRenderedPageBreak/>
        <w:drawing>
          <wp:anchor distT="0" distB="0" distL="114300" distR="114300" simplePos="0" relativeHeight="251688960" behindDoc="0" locked="0" layoutInCell="1" allowOverlap="1" wp14:anchorId="025BCC37" wp14:editId="02D9DB78">
            <wp:simplePos x="0" y="0"/>
            <wp:positionH relativeFrom="column">
              <wp:posOffset>2843745</wp:posOffset>
            </wp:positionH>
            <wp:positionV relativeFrom="paragraph">
              <wp:posOffset>1256225</wp:posOffset>
            </wp:positionV>
            <wp:extent cx="795655" cy="563245"/>
            <wp:effectExtent l="0" t="0" r="4445" b="8255"/>
            <wp:wrapSquare wrapText="bothSides"/>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5" cstate="print">
                      <a:biLevel thresh="75000"/>
                      <a:extLst>
                        <a:ext uri="{28A0092B-C50C-407E-A947-70E740481C1C}">
                          <a14:useLocalDpi xmlns:a14="http://schemas.microsoft.com/office/drawing/2010/main" val="0"/>
                        </a:ext>
                      </a:extLst>
                    </a:blip>
                    <a:stretch>
                      <a:fillRect/>
                    </a:stretch>
                  </pic:blipFill>
                  <pic:spPr>
                    <a:xfrm>
                      <a:off x="0" y="0"/>
                      <a:ext cx="795655" cy="563245"/>
                    </a:xfrm>
                    <a:prstGeom prst="rect">
                      <a:avLst/>
                    </a:prstGeom>
                  </pic:spPr>
                </pic:pic>
              </a:graphicData>
            </a:graphic>
            <wp14:sizeRelH relativeFrom="page">
              <wp14:pctWidth>0</wp14:pctWidth>
            </wp14:sizeRelH>
            <wp14:sizeRelV relativeFrom="page">
              <wp14:pctHeight>0</wp14:pctHeight>
            </wp14:sizeRelV>
          </wp:anchor>
        </w:drawing>
      </w:r>
      <w:r w:rsidR="00E948DF" w:rsidRPr="00472E86">
        <w:rPr>
          <w:rFonts w:ascii="Times New Roman" w:hAnsi="Times New Roman" w:cs="Times New Roman"/>
          <w:noProof/>
          <w:sz w:val="24"/>
          <w:szCs w:val="24"/>
          <w:lang w:eastAsia="en-GB"/>
        </w:rPr>
        <w:drawing>
          <wp:anchor distT="0" distB="0" distL="114300" distR="114300" simplePos="0" relativeHeight="251654144" behindDoc="0" locked="0" layoutInCell="1" allowOverlap="1" wp14:anchorId="0B8010F2" wp14:editId="6872AFC5">
            <wp:simplePos x="0" y="0"/>
            <wp:positionH relativeFrom="margin">
              <wp:posOffset>3816935</wp:posOffset>
            </wp:positionH>
            <wp:positionV relativeFrom="paragraph">
              <wp:posOffset>517730</wp:posOffset>
            </wp:positionV>
            <wp:extent cx="1793875" cy="280670"/>
            <wp:effectExtent l="0" t="0" r="0" b="5080"/>
            <wp:wrapSquare wrapText="bothSides"/>
            <wp:docPr id="3" name="Picture 3" descr="R:\Communications\Laing\Exhibitions\2019\The Enchanted Interior (12 October 2019 - 23 February 2020)\PRESS KIT\Logos\Paul Mellon Cen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ommunications\Laing\Exhibitions\2019\The Enchanted Interior (12 October 2019 - 23 February 2020)\PRESS KIT\Logos\Paul Mellon Centr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3875"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8DF" w:rsidRPr="00472E86">
        <w:rPr>
          <w:rFonts w:ascii="Times New Roman" w:hAnsi="Times New Roman" w:cs="Times New Roman"/>
          <w:noProof/>
          <w:sz w:val="24"/>
          <w:szCs w:val="24"/>
          <w:lang w:eastAsia="en-GB"/>
        </w:rPr>
        <w:drawing>
          <wp:anchor distT="0" distB="0" distL="114300" distR="114300" simplePos="0" relativeHeight="251671552" behindDoc="0" locked="0" layoutInCell="1" allowOverlap="1" wp14:anchorId="36C34B30" wp14:editId="3BAC5ACA">
            <wp:simplePos x="0" y="0"/>
            <wp:positionH relativeFrom="column">
              <wp:posOffset>2201290</wp:posOffset>
            </wp:positionH>
            <wp:positionV relativeFrom="paragraph">
              <wp:posOffset>334430</wp:posOffset>
            </wp:positionV>
            <wp:extent cx="1123950" cy="671830"/>
            <wp:effectExtent l="0" t="0" r="0" b="0"/>
            <wp:wrapSquare wrapText="bothSides"/>
            <wp:docPr id="1" name="Picture 1" descr="R:\Communications\Laing\Exhibitions\2019\The Enchanted Interior (12 October 2019 - 23 February 2020)\PRESS KIT\Logos\John Ell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mmunications\Laing\Exhibitions\2019\The Enchanted Interior (12 October 2019 - 23 February 2020)\PRESS KIT\Logos\John Ellerm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161" w:rsidRPr="00472E86">
        <w:rPr>
          <w:rFonts w:ascii="Times New Roman" w:hAnsi="Times New Roman" w:cs="Times New Roman"/>
          <w:noProof/>
          <w:sz w:val="24"/>
          <w:szCs w:val="24"/>
          <w:lang w:eastAsia="en-GB"/>
        </w:rPr>
        <w:drawing>
          <wp:anchor distT="0" distB="0" distL="114300" distR="114300" simplePos="0" relativeHeight="251641856" behindDoc="0" locked="0" layoutInCell="1" allowOverlap="1" wp14:anchorId="6640C61A" wp14:editId="67A5A6E2">
            <wp:simplePos x="0" y="0"/>
            <wp:positionH relativeFrom="column">
              <wp:posOffset>1548130</wp:posOffset>
            </wp:positionH>
            <wp:positionV relativeFrom="paragraph">
              <wp:posOffset>1292860</wp:posOffset>
            </wp:positionV>
            <wp:extent cx="733425" cy="559435"/>
            <wp:effectExtent l="0" t="0" r="9525" b="0"/>
            <wp:wrapSquare wrapText="bothSides"/>
            <wp:docPr id="7" name="Picture 7" descr="R:\Communications\Laing\Exhibitions\2019\The Enchanted Interior (12 October 2019 - 23 February 2020)\PRESS KIT\Logos\flag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ommunications\Laing\Exhibitions\2019\The Enchanted Interior (12 October 2019 - 23 February 2020)\PRESS KIT\Logos\flag logo.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161" w:rsidRPr="00472E86">
        <w:rPr>
          <w:rFonts w:ascii="Times New Roman" w:hAnsi="Times New Roman" w:cs="Times New Roman"/>
          <w:noProof/>
          <w:sz w:val="24"/>
          <w:szCs w:val="24"/>
          <w:lang w:eastAsia="en-GB"/>
        </w:rPr>
        <w:drawing>
          <wp:anchor distT="0" distB="0" distL="114300" distR="114300" simplePos="0" relativeHeight="251680768" behindDoc="0" locked="0" layoutInCell="1" allowOverlap="1" wp14:anchorId="6C147E69" wp14:editId="70326CCC">
            <wp:simplePos x="0" y="0"/>
            <wp:positionH relativeFrom="margin">
              <wp:posOffset>175260</wp:posOffset>
            </wp:positionH>
            <wp:positionV relativeFrom="paragraph">
              <wp:posOffset>1301115</wp:posOffset>
            </wp:positionV>
            <wp:extent cx="632460" cy="560070"/>
            <wp:effectExtent l="0" t="0" r="0" b="0"/>
            <wp:wrapSquare wrapText="bothSides"/>
            <wp:docPr id="6" name="Picture 6" descr="G:\Communications\Laing\Exhibitions\2019 exhibitions\Enchanted Interior (12 October 2019 - 22 February 2020)\LOGOS\Henry Moore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Laing\Exhibitions\2019 exhibitions\Enchanted Interior (12 October 2019 - 22 February 2020)\LOGOS\Henry Moore Found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246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161" w:rsidRPr="00472E86">
        <w:rPr>
          <w:rFonts w:ascii="Times New Roman" w:hAnsi="Times New Roman" w:cs="Times New Roman"/>
          <w:noProof/>
          <w:sz w:val="24"/>
          <w:szCs w:val="24"/>
          <w:lang w:eastAsia="en-GB"/>
        </w:rPr>
        <w:drawing>
          <wp:anchor distT="0" distB="0" distL="114300" distR="114300" simplePos="0" relativeHeight="251643904" behindDoc="0" locked="0" layoutInCell="1" allowOverlap="1" wp14:anchorId="34E770E3" wp14:editId="5057CF83">
            <wp:simplePos x="0" y="0"/>
            <wp:positionH relativeFrom="margin">
              <wp:align>left</wp:align>
            </wp:positionH>
            <wp:positionV relativeFrom="paragraph">
              <wp:posOffset>429895</wp:posOffset>
            </wp:positionV>
            <wp:extent cx="1970405" cy="525145"/>
            <wp:effectExtent l="0" t="0" r="0" b="8255"/>
            <wp:wrapSquare wrapText="bothSides"/>
            <wp:docPr id="4" name="Picture 4" descr="R:\Communications\Laing\Exhibitions\2019\The Enchanted Interior (12 October 2019 - 23 February 2020)\PRESS KIT\Logos\Weston Loan Proframme_with Art F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ommunications\Laing\Exhibitions\2019\The Enchanted Interior (12 October 2019 - 23 February 2020)\PRESS KIT\Logos\Weston Loan Proframme_with Art Fu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0405" cy="5251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86BAB" w:rsidRPr="00AA0B3B" w:rsidSect="00566D00">
      <w:pgSz w:w="11906" w:h="16838"/>
      <w:pgMar w:top="567" w:right="510" w:bottom="567" w:left="51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9376A9" w16cid:durableId="21330B8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B3B"/>
    <w:rsid w:val="00025243"/>
    <w:rsid w:val="000A7CA1"/>
    <w:rsid w:val="000B4015"/>
    <w:rsid w:val="000B683D"/>
    <w:rsid w:val="000C4A1A"/>
    <w:rsid w:val="000F1E16"/>
    <w:rsid w:val="00123BE3"/>
    <w:rsid w:val="001450A2"/>
    <w:rsid w:val="001459D2"/>
    <w:rsid w:val="00152024"/>
    <w:rsid w:val="00167F38"/>
    <w:rsid w:val="00186BAB"/>
    <w:rsid w:val="001C1636"/>
    <w:rsid w:val="001D5C3C"/>
    <w:rsid w:val="001E1363"/>
    <w:rsid w:val="001E1E6D"/>
    <w:rsid w:val="002014C3"/>
    <w:rsid w:val="00211FCE"/>
    <w:rsid w:val="00245303"/>
    <w:rsid w:val="002565AE"/>
    <w:rsid w:val="00290A24"/>
    <w:rsid w:val="002A099B"/>
    <w:rsid w:val="002A1E49"/>
    <w:rsid w:val="002A61B5"/>
    <w:rsid w:val="002B1BC8"/>
    <w:rsid w:val="002B3543"/>
    <w:rsid w:val="002C576D"/>
    <w:rsid w:val="002C628A"/>
    <w:rsid w:val="002D2B9A"/>
    <w:rsid w:val="002E0A8A"/>
    <w:rsid w:val="002F3A63"/>
    <w:rsid w:val="003100C8"/>
    <w:rsid w:val="003170EF"/>
    <w:rsid w:val="00325974"/>
    <w:rsid w:val="00325EBE"/>
    <w:rsid w:val="00347F15"/>
    <w:rsid w:val="00371F65"/>
    <w:rsid w:val="003979FA"/>
    <w:rsid w:val="003E2A79"/>
    <w:rsid w:val="003F0229"/>
    <w:rsid w:val="003F3C63"/>
    <w:rsid w:val="00411202"/>
    <w:rsid w:val="00424BD3"/>
    <w:rsid w:val="00443D07"/>
    <w:rsid w:val="00465605"/>
    <w:rsid w:val="00472E86"/>
    <w:rsid w:val="00486F3F"/>
    <w:rsid w:val="004C35E6"/>
    <w:rsid w:val="004E1D59"/>
    <w:rsid w:val="00511A51"/>
    <w:rsid w:val="00520154"/>
    <w:rsid w:val="00532846"/>
    <w:rsid w:val="00536FD3"/>
    <w:rsid w:val="00537D79"/>
    <w:rsid w:val="00543271"/>
    <w:rsid w:val="005466A0"/>
    <w:rsid w:val="00566D00"/>
    <w:rsid w:val="005821C7"/>
    <w:rsid w:val="00595D78"/>
    <w:rsid w:val="005960C5"/>
    <w:rsid w:val="005A1E60"/>
    <w:rsid w:val="005B4EF0"/>
    <w:rsid w:val="005D2AB3"/>
    <w:rsid w:val="005D374C"/>
    <w:rsid w:val="005E2234"/>
    <w:rsid w:val="005E62DB"/>
    <w:rsid w:val="005F4D73"/>
    <w:rsid w:val="0060176B"/>
    <w:rsid w:val="006134FF"/>
    <w:rsid w:val="00663ABE"/>
    <w:rsid w:val="00663C6B"/>
    <w:rsid w:val="00670485"/>
    <w:rsid w:val="00676A06"/>
    <w:rsid w:val="00694BEC"/>
    <w:rsid w:val="006C14EB"/>
    <w:rsid w:val="006E374D"/>
    <w:rsid w:val="006E69EF"/>
    <w:rsid w:val="006F20C2"/>
    <w:rsid w:val="00722221"/>
    <w:rsid w:val="00727161"/>
    <w:rsid w:val="007276EF"/>
    <w:rsid w:val="007441B4"/>
    <w:rsid w:val="00747F6A"/>
    <w:rsid w:val="00774B6C"/>
    <w:rsid w:val="0079118B"/>
    <w:rsid w:val="0079497B"/>
    <w:rsid w:val="007A19BB"/>
    <w:rsid w:val="007D5795"/>
    <w:rsid w:val="008062CF"/>
    <w:rsid w:val="0085454E"/>
    <w:rsid w:val="00856095"/>
    <w:rsid w:val="00871487"/>
    <w:rsid w:val="00871C62"/>
    <w:rsid w:val="00881C63"/>
    <w:rsid w:val="00886B3E"/>
    <w:rsid w:val="00897F86"/>
    <w:rsid w:val="008D1D7B"/>
    <w:rsid w:val="008E452F"/>
    <w:rsid w:val="008F0CC7"/>
    <w:rsid w:val="008F40B4"/>
    <w:rsid w:val="00917B08"/>
    <w:rsid w:val="00925C24"/>
    <w:rsid w:val="009357C1"/>
    <w:rsid w:val="009616A6"/>
    <w:rsid w:val="009818B2"/>
    <w:rsid w:val="009A6D43"/>
    <w:rsid w:val="009D37B9"/>
    <w:rsid w:val="009E0F44"/>
    <w:rsid w:val="009E1A87"/>
    <w:rsid w:val="009E715D"/>
    <w:rsid w:val="009F0B62"/>
    <w:rsid w:val="00A044E5"/>
    <w:rsid w:val="00A20009"/>
    <w:rsid w:val="00A2381D"/>
    <w:rsid w:val="00A348CA"/>
    <w:rsid w:val="00A356AE"/>
    <w:rsid w:val="00A46665"/>
    <w:rsid w:val="00A72E16"/>
    <w:rsid w:val="00A77D21"/>
    <w:rsid w:val="00AA0B3B"/>
    <w:rsid w:val="00AD16A4"/>
    <w:rsid w:val="00AF1727"/>
    <w:rsid w:val="00AF636B"/>
    <w:rsid w:val="00B0005F"/>
    <w:rsid w:val="00B01C57"/>
    <w:rsid w:val="00B07C59"/>
    <w:rsid w:val="00B136C5"/>
    <w:rsid w:val="00B1520A"/>
    <w:rsid w:val="00B1707F"/>
    <w:rsid w:val="00B214F2"/>
    <w:rsid w:val="00B21671"/>
    <w:rsid w:val="00B21DF9"/>
    <w:rsid w:val="00B4203A"/>
    <w:rsid w:val="00B4454C"/>
    <w:rsid w:val="00B4601F"/>
    <w:rsid w:val="00B517C5"/>
    <w:rsid w:val="00B85FDD"/>
    <w:rsid w:val="00B94C91"/>
    <w:rsid w:val="00BB2473"/>
    <w:rsid w:val="00BE2D12"/>
    <w:rsid w:val="00BF3786"/>
    <w:rsid w:val="00C03336"/>
    <w:rsid w:val="00C1690F"/>
    <w:rsid w:val="00C22438"/>
    <w:rsid w:val="00C22DC3"/>
    <w:rsid w:val="00C55142"/>
    <w:rsid w:val="00C57307"/>
    <w:rsid w:val="00C64B29"/>
    <w:rsid w:val="00C8163E"/>
    <w:rsid w:val="00C8762F"/>
    <w:rsid w:val="00CC55F6"/>
    <w:rsid w:val="00D109B3"/>
    <w:rsid w:val="00D435A5"/>
    <w:rsid w:val="00D43CB5"/>
    <w:rsid w:val="00D465E4"/>
    <w:rsid w:val="00D67D6C"/>
    <w:rsid w:val="00D86E62"/>
    <w:rsid w:val="00DB77DD"/>
    <w:rsid w:val="00DC5251"/>
    <w:rsid w:val="00DD653F"/>
    <w:rsid w:val="00DE4240"/>
    <w:rsid w:val="00E051AC"/>
    <w:rsid w:val="00E14A62"/>
    <w:rsid w:val="00E23A8B"/>
    <w:rsid w:val="00E27C0C"/>
    <w:rsid w:val="00E30F7F"/>
    <w:rsid w:val="00E37398"/>
    <w:rsid w:val="00E51141"/>
    <w:rsid w:val="00E5137B"/>
    <w:rsid w:val="00E64843"/>
    <w:rsid w:val="00E746EB"/>
    <w:rsid w:val="00E81A96"/>
    <w:rsid w:val="00E85E24"/>
    <w:rsid w:val="00E877F0"/>
    <w:rsid w:val="00E92041"/>
    <w:rsid w:val="00E948DF"/>
    <w:rsid w:val="00EB4FB7"/>
    <w:rsid w:val="00EB543E"/>
    <w:rsid w:val="00EB62F8"/>
    <w:rsid w:val="00EC6C91"/>
    <w:rsid w:val="00EE4985"/>
    <w:rsid w:val="00EF199F"/>
    <w:rsid w:val="00F1308D"/>
    <w:rsid w:val="00F16743"/>
    <w:rsid w:val="00F23E1F"/>
    <w:rsid w:val="00F24589"/>
    <w:rsid w:val="00F31F5C"/>
    <w:rsid w:val="00F37729"/>
    <w:rsid w:val="00F50972"/>
    <w:rsid w:val="00F650EB"/>
    <w:rsid w:val="00F71DED"/>
    <w:rsid w:val="00F772EF"/>
    <w:rsid w:val="00F9411F"/>
    <w:rsid w:val="00FD1A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B9CDC"/>
  <w15:docId w15:val="{4EFE1760-6D01-44A3-B295-A2C3A76DB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A0B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4601F"/>
    <w:rPr>
      <w:color w:val="0563C1" w:themeColor="hyperlink"/>
      <w:u w:val="single"/>
    </w:rPr>
  </w:style>
  <w:style w:type="paragraph" w:styleId="NoSpacing">
    <w:name w:val="No Spacing"/>
    <w:uiPriority w:val="1"/>
    <w:qFormat/>
    <w:rsid w:val="00B4601F"/>
    <w:pPr>
      <w:spacing w:after="0" w:line="240" w:lineRule="auto"/>
    </w:pPr>
    <w:rPr>
      <w:rFonts w:ascii="Arial" w:eastAsia="Times New Roman" w:hAnsi="Arial" w:cs="Times New Roman"/>
      <w:sz w:val="24"/>
      <w:szCs w:val="20"/>
    </w:rPr>
  </w:style>
  <w:style w:type="character" w:customStyle="1" w:styleId="UnresolvedMention1">
    <w:name w:val="Unresolved Mention1"/>
    <w:basedOn w:val="DefaultParagraphFont"/>
    <w:uiPriority w:val="99"/>
    <w:semiHidden/>
    <w:unhideWhenUsed/>
    <w:rsid w:val="00123BE3"/>
    <w:rPr>
      <w:color w:val="808080"/>
      <w:shd w:val="clear" w:color="auto" w:fill="E6E6E6"/>
    </w:rPr>
  </w:style>
  <w:style w:type="paragraph" w:styleId="BalloonText">
    <w:name w:val="Balloon Text"/>
    <w:basedOn w:val="Normal"/>
    <w:link w:val="BalloonTextChar"/>
    <w:uiPriority w:val="99"/>
    <w:semiHidden/>
    <w:unhideWhenUsed/>
    <w:rsid w:val="001D5C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C3C"/>
    <w:rPr>
      <w:rFonts w:ascii="Segoe UI" w:hAnsi="Segoe UI" w:cs="Segoe UI"/>
      <w:sz w:val="18"/>
      <w:szCs w:val="18"/>
    </w:rPr>
  </w:style>
  <w:style w:type="character" w:styleId="CommentReference">
    <w:name w:val="annotation reference"/>
    <w:basedOn w:val="DefaultParagraphFont"/>
    <w:uiPriority w:val="99"/>
    <w:semiHidden/>
    <w:unhideWhenUsed/>
    <w:rsid w:val="00A044E5"/>
    <w:rPr>
      <w:sz w:val="16"/>
      <w:szCs w:val="16"/>
    </w:rPr>
  </w:style>
  <w:style w:type="paragraph" w:styleId="CommentText">
    <w:name w:val="annotation text"/>
    <w:basedOn w:val="Normal"/>
    <w:link w:val="CommentTextChar"/>
    <w:uiPriority w:val="99"/>
    <w:semiHidden/>
    <w:unhideWhenUsed/>
    <w:rsid w:val="00A044E5"/>
    <w:pPr>
      <w:spacing w:line="240" w:lineRule="auto"/>
    </w:pPr>
    <w:rPr>
      <w:sz w:val="20"/>
      <w:szCs w:val="20"/>
    </w:rPr>
  </w:style>
  <w:style w:type="character" w:customStyle="1" w:styleId="CommentTextChar">
    <w:name w:val="Comment Text Char"/>
    <w:basedOn w:val="DefaultParagraphFont"/>
    <w:link w:val="CommentText"/>
    <w:uiPriority w:val="99"/>
    <w:semiHidden/>
    <w:rsid w:val="00A044E5"/>
    <w:rPr>
      <w:sz w:val="20"/>
      <w:szCs w:val="20"/>
    </w:rPr>
  </w:style>
  <w:style w:type="paragraph" w:styleId="CommentSubject">
    <w:name w:val="annotation subject"/>
    <w:basedOn w:val="CommentText"/>
    <w:next w:val="CommentText"/>
    <w:link w:val="CommentSubjectChar"/>
    <w:uiPriority w:val="99"/>
    <w:semiHidden/>
    <w:unhideWhenUsed/>
    <w:rsid w:val="00A044E5"/>
    <w:rPr>
      <w:b/>
      <w:bCs/>
    </w:rPr>
  </w:style>
  <w:style w:type="character" w:customStyle="1" w:styleId="CommentSubjectChar">
    <w:name w:val="Comment Subject Char"/>
    <w:basedOn w:val="CommentTextChar"/>
    <w:link w:val="CommentSubject"/>
    <w:uiPriority w:val="99"/>
    <w:semiHidden/>
    <w:rsid w:val="00A044E5"/>
    <w:rPr>
      <w:b/>
      <w:bCs/>
      <w:sz w:val="20"/>
      <w:szCs w:val="20"/>
    </w:rPr>
  </w:style>
  <w:style w:type="character" w:customStyle="1" w:styleId="highlight">
    <w:name w:val="highlight"/>
    <w:basedOn w:val="DefaultParagraphFont"/>
    <w:rsid w:val="00E27C0C"/>
  </w:style>
  <w:style w:type="paragraph" w:styleId="Revision">
    <w:name w:val="Revision"/>
    <w:hidden/>
    <w:uiPriority w:val="99"/>
    <w:semiHidden/>
    <w:rsid w:val="00C64B29"/>
    <w:pPr>
      <w:spacing w:after="0" w:line="240" w:lineRule="auto"/>
    </w:pPr>
  </w:style>
  <w:style w:type="character" w:customStyle="1" w:styleId="UnresolvedMention2">
    <w:name w:val="Unresolved Mention2"/>
    <w:basedOn w:val="DefaultParagraphFont"/>
    <w:uiPriority w:val="99"/>
    <w:semiHidden/>
    <w:unhideWhenUsed/>
    <w:rsid w:val="007441B4"/>
    <w:rPr>
      <w:color w:val="808080"/>
      <w:shd w:val="clear" w:color="auto" w:fill="E6E6E6"/>
    </w:rPr>
  </w:style>
  <w:style w:type="character" w:customStyle="1" w:styleId="UnresolvedMention3">
    <w:name w:val="Unresolved Mention3"/>
    <w:basedOn w:val="DefaultParagraphFont"/>
    <w:uiPriority w:val="99"/>
    <w:semiHidden/>
    <w:unhideWhenUsed/>
    <w:rsid w:val="00E051AC"/>
    <w:rPr>
      <w:color w:val="605E5C"/>
      <w:shd w:val="clear" w:color="auto" w:fill="E1DFDD"/>
    </w:rPr>
  </w:style>
  <w:style w:type="table" w:styleId="TableGrid">
    <w:name w:val="Table Grid"/>
    <w:basedOn w:val="TableNormal"/>
    <w:uiPriority w:val="39"/>
    <w:rsid w:val="008F0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59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dropbox.com/sh/f8blos6hqxvjayi/AAAfSsLv4_x6z6vKqfYrsR47a?dl=0" TargetMode="External"/><Relationship Id="rId18" Type="http://schemas.openxmlformats.org/officeDocument/2006/relationships/image" Target="media/image12.tif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www.laingartgallery.org.uk" TargetMode="External"/><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image" Target="media/image7.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brera-london.com" TargetMode="External"/><Relationship Id="rId22" Type="http://schemas.openxmlformats.org/officeDocument/2006/relationships/theme" Target="theme/theme1.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1684</Words>
  <Characters>9604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11266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Barker</dc:creator>
  <cp:lastModifiedBy>Rachel Booker</cp:lastModifiedBy>
  <cp:revision>12</cp:revision>
  <dcterms:created xsi:type="dcterms:W3CDTF">2019-09-23T14:36:00Z</dcterms:created>
  <dcterms:modified xsi:type="dcterms:W3CDTF">2019-09-23T14:49:00Z</dcterms:modified>
</cp:coreProperties>
</file>